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rPr>
          <w:rFonts w:ascii="Times New Roman" w:hAnsi="Times New Roman" w:eastAsia="黑体"/>
          <w:szCs w:val="32"/>
        </w:rPr>
      </w:pPr>
      <w:r>
        <w:rPr>
          <w:rFonts w:ascii="Times New Roman" w:hAnsi="Times New Roman" w:eastAsia="黑体"/>
          <w:szCs w:val="32"/>
        </w:rPr>
        <w:t>附件1</w:t>
      </w:r>
    </w:p>
    <w:p>
      <w:pPr>
        <w:adjustRightInd w:val="0"/>
        <w:spacing w:line="580" w:lineRule="exact"/>
        <w:rPr>
          <w:rFonts w:ascii="Times New Roman" w:hAnsi="Times New Roman" w:eastAsia="黑体"/>
          <w:szCs w:val="32"/>
        </w:rPr>
      </w:pPr>
    </w:p>
    <w:p>
      <w:pPr>
        <w:adjustRightInd w:val="0"/>
        <w:spacing w:line="580" w:lineRule="exact"/>
        <w:jc w:val="center"/>
        <w:rPr>
          <w:rFonts w:ascii="Times New Roman" w:hAnsi="Times New Roman" w:eastAsia="方正小标宋简体"/>
          <w:sz w:val="44"/>
          <w:szCs w:val="44"/>
          <w:lang w:val="en"/>
        </w:rPr>
      </w:pPr>
      <w:r>
        <w:rPr>
          <w:rFonts w:ascii="Times New Roman" w:hAnsi="Times New Roman" w:eastAsia="方正小标宋简体"/>
          <w:sz w:val="44"/>
          <w:szCs w:val="44"/>
        </w:rPr>
        <w:t>2022年</w:t>
      </w:r>
      <w:r>
        <w:rPr>
          <w:rFonts w:ascii="Times New Roman" w:hAnsi="Times New Roman" w:eastAsia="方正小标宋简体"/>
          <w:sz w:val="44"/>
          <w:szCs w:val="44"/>
          <w:lang w:val="en"/>
        </w:rPr>
        <w:t>东莞市科技人才创业计划</w:t>
      </w:r>
    </w:p>
    <w:p>
      <w:pPr>
        <w:adjustRightInd w:val="0"/>
        <w:spacing w:line="580" w:lineRule="exact"/>
        <w:jc w:val="center"/>
        <w:rPr>
          <w:rFonts w:ascii="Times New Roman" w:hAnsi="Times New Roman" w:eastAsia="方正小标宋简体"/>
          <w:szCs w:val="32"/>
          <w:lang w:val="en"/>
        </w:rPr>
      </w:pPr>
      <w:r>
        <w:rPr>
          <w:rFonts w:ascii="Times New Roman" w:hAnsi="Times New Roman" w:eastAsia="方正小标宋简体"/>
          <w:sz w:val="44"/>
          <w:szCs w:val="44"/>
          <w:lang w:val="en"/>
        </w:rPr>
        <w:t>申报指南</w:t>
      </w:r>
    </w:p>
    <w:p>
      <w:pPr>
        <w:adjustRightInd w:val="0"/>
        <w:spacing w:line="580" w:lineRule="exact"/>
        <w:rPr>
          <w:rFonts w:ascii="Times New Roman" w:hAnsi="Times New Roman" w:eastAsia="黑体"/>
          <w:szCs w:val="32"/>
          <w:lang w:val="en"/>
        </w:rPr>
      </w:pPr>
    </w:p>
    <w:p>
      <w:pPr>
        <w:adjustRightInd w:val="0"/>
        <w:spacing w:line="560" w:lineRule="exact"/>
        <w:ind w:firstLine="640" w:firstLineChars="200"/>
        <w:rPr>
          <w:rFonts w:ascii="Times New Roman" w:hAnsi="Times New Roman"/>
          <w:szCs w:val="32"/>
        </w:rPr>
      </w:pPr>
      <w:r>
        <w:rPr>
          <w:rFonts w:ascii="Times New Roman" w:hAnsi="Times New Roman"/>
          <w:szCs w:val="32"/>
          <w:lang w:val="en"/>
        </w:rPr>
        <w:t>根据《东莞市扶持科技人才创业实施管理办法（试行）》（东科〔2022〕9号），大力支持海内外科技人才携优秀科技成果在莞创新创业，为做好</w:t>
      </w:r>
      <w:r>
        <w:rPr>
          <w:rFonts w:ascii="Times New Roman" w:hAnsi="Times New Roman"/>
          <w:szCs w:val="32"/>
        </w:rPr>
        <w:t>2022年东莞市科技人才创业计划</w:t>
      </w:r>
      <w:r>
        <w:rPr>
          <w:rFonts w:ascii="Times New Roman" w:hAnsi="Times New Roman"/>
          <w:szCs w:val="32"/>
          <w:lang w:val="en"/>
        </w:rPr>
        <w:t>申报工作，特制定本申报指南。</w:t>
      </w:r>
    </w:p>
    <w:p>
      <w:pPr>
        <w:adjustRightInd w:val="0"/>
        <w:spacing w:line="560" w:lineRule="exact"/>
        <w:ind w:firstLine="640" w:firstLineChars="200"/>
        <w:rPr>
          <w:rFonts w:ascii="Times New Roman" w:hAnsi="Times New Roman" w:eastAsia="黑体"/>
          <w:szCs w:val="32"/>
          <w:lang w:val="en"/>
        </w:rPr>
      </w:pPr>
      <w:r>
        <w:rPr>
          <w:rFonts w:hint="eastAsia" w:ascii="Times New Roman" w:hAnsi="Times New Roman" w:eastAsia="黑体"/>
          <w:szCs w:val="32"/>
          <w:lang w:val="en"/>
        </w:rPr>
        <w:t>一、</w:t>
      </w:r>
      <w:r>
        <w:rPr>
          <w:rFonts w:ascii="Times New Roman" w:hAnsi="Times New Roman" w:eastAsia="黑体"/>
          <w:szCs w:val="32"/>
          <w:lang w:val="en"/>
        </w:rPr>
        <w:t>申报对象</w:t>
      </w:r>
    </w:p>
    <w:p>
      <w:pPr>
        <w:adjustRightInd w:val="0"/>
        <w:spacing w:line="560" w:lineRule="exact"/>
        <w:ind w:firstLine="640" w:firstLineChars="200"/>
        <w:rPr>
          <w:rFonts w:ascii="Times New Roman" w:hAnsi="Times New Roman"/>
          <w:szCs w:val="32"/>
        </w:rPr>
      </w:pPr>
      <w:r>
        <w:rPr>
          <w:rFonts w:ascii="Times New Roman" w:hAnsi="Times New Roman"/>
          <w:szCs w:val="32"/>
        </w:rPr>
        <w:t>支持既懂科技创新又懂市场运营的科技人才携带具有自主知识产权的科技成果，在东莞创办企业或与东莞相关单位合作共同设立项目孵化企业，开展科技成果转化活动。</w:t>
      </w:r>
    </w:p>
    <w:p>
      <w:pPr>
        <w:adjustRightInd w:val="0"/>
        <w:spacing w:line="560" w:lineRule="exact"/>
        <w:ind w:firstLine="640" w:firstLineChars="200"/>
        <w:rPr>
          <w:rFonts w:ascii="Times New Roman" w:hAnsi="Times New Roman" w:eastAsia="黑体"/>
          <w:szCs w:val="32"/>
        </w:rPr>
      </w:pPr>
      <w:r>
        <w:rPr>
          <w:rFonts w:hint="eastAsia" w:ascii="Times New Roman" w:hAnsi="Times New Roman" w:eastAsia="黑体"/>
          <w:szCs w:val="32"/>
        </w:rPr>
        <w:t>二、</w:t>
      </w:r>
      <w:r>
        <w:rPr>
          <w:rFonts w:ascii="Times New Roman" w:hAnsi="Times New Roman" w:eastAsia="黑体"/>
          <w:szCs w:val="32"/>
        </w:rPr>
        <w:t>设定依据</w:t>
      </w:r>
    </w:p>
    <w:p>
      <w:pPr>
        <w:adjustRightInd w:val="0"/>
        <w:spacing w:line="560" w:lineRule="exact"/>
        <w:ind w:firstLine="640" w:firstLineChars="200"/>
        <w:rPr>
          <w:rFonts w:ascii="Times New Roman" w:hAnsi="Times New Roman"/>
          <w:szCs w:val="32"/>
        </w:rPr>
      </w:pPr>
      <w:r>
        <w:rPr>
          <w:rFonts w:ascii="Times New Roman" w:hAnsi="Times New Roman"/>
          <w:szCs w:val="32"/>
        </w:rPr>
        <w:t>《东莞市扶持科技人才创业实施管理办法（试行）》（东科〔2022〕9号）</w:t>
      </w:r>
    </w:p>
    <w:p>
      <w:pPr>
        <w:adjustRightInd w:val="0"/>
        <w:spacing w:line="560" w:lineRule="exact"/>
        <w:ind w:firstLine="640" w:firstLineChars="200"/>
        <w:rPr>
          <w:rFonts w:ascii="Times New Roman" w:hAnsi="Times New Roman" w:eastAsia="黑体"/>
          <w:szCs w:val="32"/>
        </w:rPr>
      </w:pPr>
      <w:r>
        <w:rPr>
          <w:rFonts w:hint="eastAsia" w:ascii="Times New Roman" w:hAnsi="Times New Roman" w:eastAsia="黑体"/>
          <w:szCs w:val="32"/>
        </w:rPr>
        <w:t>三</w:t>
      </w:r>
      <w:r>
        <w:rPr>
          <w:rFonts w:ascii="Times New Roman" w:hAnsi="Times New Roman" w:eastAsia="黑体"/>
          <w:szCs w:val="32"/>
        </w:rPr>
        <w:t>、申报条件</w:t>
      </w:r>
    </w:p>
    <w:p>
      <w:pPr>
        <w:adjustRightInd w:val="0"/>
        <w:spacing w:line="560" w:lineRule="exact"/>
        <w:ind w:firstLine="640" w:firstLineChars="200"/>
        <w:rPr>
          <w:rFonts w:ascii="Times New Roman" w:hAnsi="Times New Roman" w:eastAsia="黑体"/>
          <w:szCs w:val="32"/>
        </w:rPr>
      </w:pPr>
      <w:r>
        <w:rPr>
          <w:rFonts w:hint="eastAsia" w:ascii="Times New Roman" w:hAnsi="Times New Roman"/>
          <w:szCs w:val="32"/>
        </w:rPr>
        <w:t>2</w:t>
      </w:r>
      <w:r>
        <w:rPr>
          <w:rFonts w:ascii="Times New Roman" w:hAnsi="Times New Roman"/>
          <w:szCs w:val="32"/>
        </w:rPr>
        <w:t>022年东莞市科技人才创业计划申请人及创</w:t>
      </w:r>
      <w:r>
        <w:rPr>
          <w:rFonts w:hint="eastAsia" w:ascii="Times New Roman" w:hAnsi="Times New Roman"/>
          <w:szCs w:val="32"/>
        </w:rPr>
        <w:t>业</w:t>
      </w:r>
      <w:r>
        <w:rPr>
          <w:rFonts w:ascii="Times New Roman" w:hAnsi="Times New Roman"/>
          <w:szCs w:val="32"/>
        </w:rPr>
        <w:t>企业应</w:t>
      </w:r>
      <w:r>
        <w:rPr>
          <w:rFonts w:hint="eastAsia" w:ascii="Times New Roman" w:hAnsi="Times New Roman"/>
          <w:szCs w:val="32"/>
        </w:rPr>
        <w:t>同时</w:t>
      </w:r>
      <w:r>
        <w:rPr>
          <w:rFonts w:ascii="Times New Roman" w:hAnsi="Times New Roman"/>
          <w:szCs w:val="32"/>
        </w:rPr>
        <w:t>具备以下条件：</w:t>
      </w:r>
    </w:p>
    <w:p>
      <w:pPr>
        <w:adjustRightInd w:val="0"/>
        <w:spacing w:line="560" w:lineRule="exact"/>
        <w:ind w:firstLine="642" w:firstLineChars="200"/>
        <w:rPr>
          <w:rFonts w:ascii="Times New Roman" w:hAnsi="Times New Roman" w:eastAsia="楷体_GB2312"/>
          <w:b/>
          <w:bCs/>
          <w:szCs w:val="32"/>
          <w:lang w:val="en"/>
        </w:rPr>
      </w:pPr>
      <w:r>
        <w:rPr>
          <w:rFonts w:ascii="Times New Roman" w:hAnsi="Times New Roman" w:eastAsia="楷体_GB2312"/>
          <w:b/>
          <w:bCs/>
          <w:szCs w:val="32"/>
          <w:lang w:val="en"/>
        </w:rPr>
        <w:t>（一）申请人条件</w:t>
      </w:r>
    </w:p>
    <w:p>
      <w:pPr>
        <w:adjustRightInd w:val="0"/>
        <w:spacing w:line="560" w:lineRule="exact"/>
        <w:ind w:firstLine="640" w:firstLineChars="200"/>
        <w:rPr>
          <w:rFonts w:ascii="Times New Roman" w:hAnsi="Times New Roman"/>
          <w:szCs w:val="32"/>
          <w:lang w:val="en"/>
        </w:rPr>
      </w:pPr>
      <w:r>
        <w:rPr>
          <w:rFonts w:ascii="Times New Roman" w:hAnsi="Times New Roman"/>
          <w:szCs w:val="32"/>
        </w:rPr>
        <w:t>1．</w:t>
      </w:r>
      <w:r>
        <w:rPr>
          <w:rFonts w:ascii="Times New Roman" w:hAnsi="Times New Roman"/>
          <w:szCs w:val="32"/>
          <w:lang w:val="en"/>
        </w:rPr>
        <w:t>申请人应具有博士学位或副高以上职称，或具有海内外自主创业经历，或曾在行业领军企业担任中高层职务经历，熟悉相关产业领域和市场规则，有较丰富的科技成果转化、企业经营管理和市场开发运作经验。</w:t>
      </w:r>
    </w:p>
    <w:p>
      <w:pPr>
        <w:adjustRightInd w:val="0"/>
        <w:spacing w:line="560" w:lineRule="exact"/>
        <w:ind w:firstLine="640" w:firstLineChars="200"/>
        <w:rPr>
          <w:rFonts w:ascii="Times New Roman" w:hAnsi="Times New Roman"/>
          <w:szCs w:val="32"/>
        </w:rPr>
      </w:pPr>
      <w:r>
        <w:rPr>
          <w:rFonts w:ascii="Times New Roman" w:hAnsi="Times New Roman"/>
          <w:szCs w:val="32"/>
        </w:rPr>
        <w:t>2．申请人为企业主要创始人并担任高层职务，</w:t>
      </w:r>
      <w:r>
        <w:rPr>
          <w:rFonts w:hint="eastAsia" w:ascii="Times New Roman" w:hAnsi="Times New Roman"/>
          <w:szCs w:val="32"/>
        </w:rPr>
        <w:t>直接或间接持有</w:t>
      </w:r>
      <w:r>
        <w:rPr>
          <w:rFonts w:ascii="Times New Roman" w:hAnsi="Times New Roman"/>
          <w:szCs w:val="32"/>
        </w:rPr>
        <w:t>不得低于20%</w:t>
      </w:r>
      <w:r>
        <w:rPr>
          <w:rFonts w:hint="eastAsia" w:ascii="Times New Roman" w:hAnsi="Times New Roman"/>
          <w:szCs w:val="32"/>
        </w:rPr>
        <w:t>的企业</w:t>
      </w:r>
      <w:r>
        <w:rPr>
          <w:rFonts w:ascii="Times New Roman" w:hAnsi="Times New Roman"/>
          <w:szCs w:val="32"/>
        </w:rPr>
        <w:t>股份，投入企业的实缴资本不少于100万元。</w:t>
      </w:r>
    </w:p>
    <w:p>
      <w:pPr>
        <w:adjustRightInd w:val="0"/>
        <w:spacing w:line="560" w:lineRule="exact"/>
        <w:ind w:firstLine="640" w:firstLineChars="200"/>
        <w:rPr>
          <w:rFonts w:ascii="Times New Roman" w:hAnsi="Times New Roman"/>
          <w:szCs w:val="32"/>
        </w:rPr>
      </w:pPr>
      <w:r>
        <w:rPr>
          <w:rFonts w:ascii="Times New Roman" w:hAnsi="Times New Roman"/>
          <w:szCs w:val="32"/>
        </w:rPr>
        <w:t>3．申请人应招募组建一支具有良好合作基础、分工明确的创业团队，团队成员应为企业核心人员并全职在创业企业工作。</w:t>
      </w:r>
    </w:p>
    <w:p>
      <w:pPr>
        <w:adjustRightInd w:val="0"/>
        <w:spacing w:line="560" w:lineRule="exact"/>
        <w:ind w:firstLine="642" w:firstLineChars="200"/>
        <w:rPr>
          <w:rFonts w:ascii="Times New Roman" w:hAnsi="Times New Roman" w:eastAsia="楷体_GB2312"/>
          <w:b/>
          <w:bCs/>
          <w:szCs w:val="32"/>
        </w:rPr>
      </w:pPr>
      <w:r>
        <w:rPr>
          <w:rFonts w:ascii="Times New Roman" w:hAnsi="Times New Roman" w:eastAsia="楷体_GB2312"/>
          <w:b/>
          <w:bCs/>
          <w:szCs w:val="32"/>
        </w:rPr>
        <w:t>（二）企业条件</w:t>
      </w:r>
    </w:p>
    <w:p>
      <w:pPr>
        <w:adjustRightInd w:val="0"/>
        <w:spacing w:line="560" w:lineRule="exact"/>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创业</w:t>
      </w:r>
      <w:r>
        <w:rPr>
          <w:rFonts w:ascii="Times New Roman" w:hAnsi="Times New Roman"/>
          <w:szCs w:val="32"/>
        </w:rPr>
        <w:t>企业</w:t>
      </w:r>
      <w:r>
        <w:rPr>
          <w:rFonts w:hint="eastAsia" w:ascii="Times New Roman" w:hAnsi="Times New Roman"/>
          <w:szCs w:val="32"/>
        </w:rPr>
        <w:t>在东莞市注册成立或迁入东莞市时间</w:t>
      </w:r>
      <w:r>
        <w:rPr>
          <w:rFonts w:ascii="Times New Roman" w:hAnsi="Times New Roman"/>
          <w:szCs w:val="32"/>
        </w:rPr>
        <w:t>在</w:t>
      </w:r>
      <w:r>
        <w:rPr>
          <w:rFonts w:ascii="Times New Roman" w:hAnsi="Times New Roman"/>
          <w:b/>
          <w:bCs/>
          <w:szCs w:val="32"/>
        </w:rPr>
        <w:t>2021年1月1日</w:t>
      </w:r>
      <w:r>
        <w:rPr>
          <w:rFonts w:hint="eastAsia" w:ascii="Times New Roman" w:hAnsi="Times New Roman"/>
          <w:b/>
          <w:bCs/>
          <w:szCs w:val="32"/>
        </w:rPr>
        <w:t>后</w:t>
      </w:r>
      <w:r>
        <w:rPr>
          <w:rFonts w:ascii="Times New Roman" w:hAnsi="Times New Roman"/>
          <w:szCs w:val="32"/>
        </w:rPr>
        <w:t>，注册资本不低于500万元。</w:t>
      </w:r>
    </w:p>
    <w:p>
      <w:pPr>
        <w:adjustRightInd w:val="0"/>
        <w:spacing w:line="560" w:lineRule="exact"/>
        <w:ind w:firstLine="640" w:firstLineChars="200"/>
        <w:rPr>
          <w:rFonts w:ascii="Times New Roman" w:hAnsi="Times New Roman"/>
          <w:szCs w:val="32"/>
        </w:rPr>
      </w:pPr>
      <w:r>
        <w:rPr>
          <w:rFonts w:hint="eastAsia" w:ascii="Times New Roman" w:hAnsi="Times New Roman"/>
          <w:szCs w:val="32"/>
        </w:rPr>
        <w:t>2．</w:t>
      </w:r>
      <w:r>
        <w:rPr>
          <w:rFonts w:ascii="Times New Roman" w:hAnsi="Times New Roman"/>
          <w:szCs w:val="32"/>
        </w:rPr>
        <w:t>尚未成立企业</w:t>
      </w:r>
      <w:r>
        <w:rPr>
          <w:rFonts w:hint="eastAsia" w:ascii="Times New Roman" w:hAnsi="Times New Roman"/>
          <w:szCs w:val="32"/>
        </w:rPr>
        <w:t>或创业企业注册地不在东莞的</w:t>
      </w:r>
      <w:r>
        <w:rPr>
          <w:rFonts w:ascii="Times New Roman" w:hAnsi="Times New Roman"/>
          <w:szCs w:val="32"/>
        </w:rPr>
        <w:t>申请人，优先推荐到各合作单位对接</w:t>
      </w:r>
      <w:r>
        <w:rPr>
          <w:rFonts w:hint="eastAsia" w:ascii="Times New Roman" w:hAnsi="Times New Roman"/>
          <w:szCs w:val="32"/>
        </w:rPr>
        <w:t>，并</w:t>
      </w:r>
      <w:r>
        <w:rPr>
          <w:rFonts w:ascii="Times New Roman" w:hAnsi="Times New Roman"/>
          <w:szCs w:val="32"/>
        </w:rPr>
        <w:t>须承诺在入库通知下达后</w:t>
      </w:r>
      <w:r>
        <w:rPr>
          <w:rFonts w:ascii="Times New Roman" w:hAnsi="Times New Roman"/>
          <w:b/>
          <w:bCs/>
          <w:szCs w:val="32"/>
        </w:rPr>
        <w:t>6个月</w:t>
      </w:r>
      <w:r>
        <w:rPr>
          <w:rFonts w:ascii="Times New Roman" w:hAnsi="Times New Roman"/>
          <w:szCs w:val="32"/>
        </w:rPr>
        <w:t>内按入库申请表填写内容</w:t>
      </w:r>
      <w:r>
        <w:rPr>
          <w:rFonts w:hint="eastAsia" w:ascii="Times New Roman" w:hAnsi="Times New Roman"/>
          <w:szCs w:val="32"/>
        </w:rPr>
        <w:t>和政策要求在东莞</w:t>
      </w:r>
      <w:r>
        <w:rPr>
          <w:rFonts w:ascii="Times New Roman" w:hAnsi="Times New Roman"/>
          <w:szCs w:val="32"/>
        </w:rPr>
        <w:t>完成企业的</w:t>
      </w:r>
      <w:r>
        <w:rPr>
          <w:rFonts w:hint="eastAsia" w:ascii="Times New Roman" w:hAnsi="Times New Roman"/>
          <w:szCs w:val="32"/>
        </w:rPr>
        <w:t>工商登记或迁入登记</w:t>
      </w:r>
      <w:r>
        <w:rPr>
          <w:rFonts w:ascii="Times New Roman" w:hAnsi="Times New Roman"/>
          <w:szCs w:val="32"/>
        </w:rPr>
        <w:t>。</w:t>
      </w:r>
    </w:p>
    <w:p>
      <w:pPr>
        <w:adjustRightInd w:val="0"/>
        <w:spacing w:line="560" w:lineRule="exact"/>
        <w:ind w:firstLine="640" w:firstLineChars="200"/>
        <w:rPr>
          <w:rFonts w:ascii="Times New Roman" w:hAnsi="Times New Roman"/>
          <w:szCs w:val="32"/>
        </w:rPr>
      </w:pPr>
      <w:r>
        <w:rPr>
          <w:rFonts w:hint="eastAsia" w:ascii="Times New Roman" w:hAnsi="Times New Roman"/>
          <w:szCs w:val="32"/>
          <w:lang w:val="en-US" w:eastAsia="zh-CN"/>
        </w:rPr>
        <w:t>3</w:t>
      </w:r>
      <w:bookmarkStart w:id="0" w:name="_GoBack"/>
      <w:bookmarkEnd w:id="0"/>
      <w:r>
        <w:rPr>
          <w:rFonts w:ascii="Times New Roman" w:hAnsi="Times New Roman"/>
          <w:szCs w:val="32"/>
        </w:rPr>
        <w:t>．创</w:t>
      </w:r>
      <w:r>
        <w:rPr>
          <w:rFonts w:hint="eastAsia" w:ascii="Times New Roman" w:hAnsi="Times New Roman"/>
          <w:szCs w:val="32"/>
        </w:rPr>
        <w:t>业</w:t>
      </w:r>
      <w:r>
        <w:rPr>
          <w:rFonts w:ascii="Times New Roman" w:hAnsi="Times New Roman"/>
          <w:szCs w:val="32"/>
        </w:rPr>
        <w:t>企业的科技成果应具有良好的产业化潜力和市场前景，技术水平获得行业认可，技术领域原则上应为我市重点支持的七大战略性新兴产业，并能在短时间内转化为产品并形成销售收入。</w:t>
      </w:r>
    </w:p>
    <w:p>
      <w:pPr>
        <w:adjustRightInd w:val="0"/>
        <w:spacing w:line="560" w:lineRule="exact"/>
        <w:ind w:firstLine="642" w:firstLineChars="200"/>
        <w:rPr>
          <w:rFonts w:ascii="Times New Roman" w:hAnsi="Times New Roman" w:eastAsia="楷体_GB2312"/>
          <w:b/>
          <w:bCs/>
          <w:szCs w:val="32"/>
        </w:rPr>
      </w:pPr>
      <w:r>
        <w:rPr>
          <w:rFonts w:ascii="Times New Roman" w:hAnsi="Times New Roman" w:eastAsia="楷体_GB2312"/>
          <w:b/>
          <w:bCs/>
          <w:szCs w:val="32"/>
        </w:rPr>
        <w:t>（三）优先支持事项</w:t>
      </w:r>
    </w:p>
    <w:p>
      <w:pPr>
        <w:adjustRightInd w:val="0"/>
        <w:spacing w:line="560" w:lineRule="exact"/>
        <w:ind w:firstLine="640" w:firstLineChars="200"/>
        <w:rPr>
          <w:rFonts w:ascii="Times New Roman" w:hAnsi="Times New Roman"/>
          <w:szCs w:val="32"/>
        </w:rPr>
      </w:pPr>
      <w:r>
        <w:rPr>
          <w:rFonts w:ascii="Times New Roman" w:hAnsi="Times New Roman"/>
          <w:szCs w:val="32"/>
        </w:rPr>
        <w:t>符合以下情形的，经所在</w:t>
      </w:r>
      <w:r>
        <w:rPr>
          <w:rFonts w:hint="eastAsia" w:ascii="Times New Roman" w:hAnsi="Times New Roman"/>
          <w:szCs w:val="32"/>
        </w:rPr>
        <w:t>合作单位</w:t>
      </w:r>
      <w:r>
        <w:rPr>
          <w:rFonts w:ascii="Times New Roman" w:hAnsi="Times New Roman"/>
          <w:szCs w:val="32"/>
        </w:rPr>
        <w:t>重点推荐，可优先入库培育：</w:t>
      </w:r>
    </w:p>
    <w:p>
      <w:pPr>
        <w:numPr>
          <w:ilvl w:val="0"/>
          <w:numId w:val="1"/>
        </w:numPr>
        <w:adjustRightInd w:val="0"/>
        <w:spacing w:line="560" w:lineRule="exact"/>
        <w:ind w:firstLine="640" w:firstLineChars="200"/>
        <w:rPr>
          <w:rFonts w:ascii="Times New Roman" w:hAnsi="Times New Roman"/>
          <w:szCs w:val="32"/>
        </w:rPr>
      </w:pPr>
      <w:r>
        <w:rPr>
          <w:rFonts w:ascii="Times New Roman" w:hAnsi="Times New Roman"/>
          <w:szCs w:val="32"/>
        </w:rPr>
        <w:t>初始项目被行业龙头企业收购，且申请人不在原企业担任职务的在莞“二次创业”人才；</w:t>
      </w:r>
    </w:p>
    <w:p>
      <w:pPr>
        <w:numPr>
          <w:ilvl w:val="0"/>
          <w:numId w:val="1"/>
        </w:numPr>
        <w:adjustRightInd w:val="0"/>
        <w:spacing w:line="560" w:lineRule="exact"/>
        <w:ind w:firstLine="640" w:firstLineChars="200"/>
        <w:rPr>
          <w:rFonts w:ascii="Times New Roman" w:hAnsi="Times New Roman"/>
          <w:szCs w:val="32"/>
        </w:rPr>
      </w:pPr>
      <w:r>
        <w:rPr>
          <w:rFonts w:hint="eastAsia" w:ascii="Times New Roman" w:hAnsi="Times New Roman"/>
          <w:szCs w:val="32"/>
        </w:rPr>
        <w:t>企业在莞累计实现销售收入500万元以上的或</w:t>
      </w:r>
      <w:r>
        <w:rPr>
          <w:rFonts w:ascii="Times New Roman" w:hAnsi="Times New Roman"/>
          <w:szCs w:val="32"/>
        </w:rPr>
        <w:t>获得</w:t>
      </w:r>
      <w:r>
        <w:rPr>
          <w:rFonts w:hint="eastAsia" w:ascii="Times New Roman" w:hAnsi="Times New Roman"/>
          <w:szCs w:val="32"/>
        </w:rPr>
        <w:t>备案的社会专业风险投资机构投资</w:t>
      </w:r>
      <w:r>
        <w:rPr>
          <w:rFonts w:ascii="Times New Roman" w:hAnsi="Times New Roman"/>
          <w:szCs w:val="32"/>
        </w:rPr>
        <w:t>超500万元的；</w:t>
      </w:r>
    </w:p>
    <w:p>
      <w:pPr>
        <w:numPr>
          <w:ilvl w:val="0"/>
          <w:numId w:val="1"/>
        </w:numPr>
        <w:adjustRightInd w:val="0"/>
        <w:spacing w:line="560" w:lineRule="exact"/>
        <w:ind w:firstLine="640" w:firstLineChars="200"/>
        <w:rPr>
          <w:rFonts w:ascii="Times New Roman" w:hAnsi="Times New Roman"/>
          <w:szCs w:val="32"/>
        </w:rPr>
      </w:pPr>
      <w:r>
        <w:rPr>
          <w:rFonts w:ascii="Times New Roman" w:hAnsi="Times New Roman"/>
          <w:szCs w:val="32"/>
        </w:rPr>
        <w:t>近两年获得市级及以上创业大赛等赛事二等奖以上的。</w:t>
      </w:r>
    </w:p>
    <w:p>
      <w:pPr>
        <w:pStyle w:val="7"/>
        <w:numPr>
          <w:ilvl w:val="0"/>
          <w:numId w:val="2"/>
        </w:numPr>
        <w:spacing w:line="560" w:lineRule="exact"/>
        <w:ind w:firstLineChars="0"/>
        <w:rPr>
          <w:rFonts w:ascii="Times New Roman" w:hAnsi="Times New Roman" w:eastAsia="黑体"/>
          <w:szCs w:val="32"/>
        </w:rPr>
      </w:pPr>
      <w:r>
        <w:rPr>
          <w:rFonts w:ascii="Times New Roman" w:hAnsi="Times New Roman" w:eastAsia="黑体"/>
          <w:szCs w:val="32"/>
        </w:rPr>
        <w:t>评审流程</w:t>
      </w:r>
    </w:p>
    <w:p>
      <w:pPr>
        <w:spacing w:line="560" w:lineRule="exact"/>
        <w:ind w:firstLine="642" w:firstLineChars="200"/>
        <w:rPr>
          <w:rFonts w:ascii="Times New Roman" w:hAnsi="Times New Roman"/>
          <w:b/>
          <w:bCs/>
          <w:szCs w:val="32"/>
        </w:rPr>
      </w:pPr>
      <w:r>
        <w:rPr>
          <w:rFonts w:hint="eastAsia" w:ascii="Times New Roman" w:hAnsi="Times New Roman"/>
          <w:b/>
          <w:bCs/>
          <w:szCs w:val="32"/>
        </w:rPr>
        <w:t>（一）评审时间</w:t>
      </w:r>
    </w:p>
    <w:p>
      <w:pPr>
        <w:adjustRightInd w:val="0"/>
        <w:spacing w:line="560" w:lineRule="exact"/>
        <w:ind w:firstLine="640" w:firstLineChars="200"/>
        <w:rPr>
          <w:rFonts w:ascii="Times New Roman" w:hAnsi="Times New Roman"/>
          <w:szCs w:val="32"/>
        </w:rPr>
      </w:pPr>
      <w:r>
        <w:rPr>
          <w:rFonts w:hint="eastAsia" w:ascii="Times New Roman" w:hAnsi="Times New Roman"/>
          <w:szCs w:val="32"/>
        </w:rPr>
        <w:t>预计于10月下旬启动评审，具体评审时间将另行通知。</w:t>
      </w:r>
    </w:p>
    <w:p>
      <w:pPr>
        <w:spacing w:line="560" w:lineRule="exact"/>
        <w:ind w:firstLine="642" w:firstLineChars="200"/>
        <w:rPr>
          <w:rFonts w:hint="eastAsia" w:ascii="Times New Roman" w:hAnsi="Times New Roman"/>
          <w:b/>
          <w:bCs/>
          <w:szCs w:val="32"/>
        </w:rPr>
      </w:pPr>
      <w:r>
        <w:rPr>
          <w:rFonts w:hint="eastAsia" w:ascii="Times New Roman" w:hAnsi="Times New Roman"/>
          <w:b/>
          <w:bCs/>
          <w:szCs w:val="32"/>
        </w:rPr>
        <w:t>（二）评审流程</w:t>
      </w:r>
    </w:p>
    <w:p>
      <w:pPr>
        <w:spacing w:line="560" w:lineRule="exact"/>
        <w:ind w:firstLine="642" w:firstLineChars="200"/>
        <w:rPr>
          <w:rFonts w:ascii="Times New Roman" w:hAnsi="Times New Roman"/>
          <w:szCs w:val="32"/>
        </w:rPr>
      </w:pPr>
      <w:r>
        <w:rPr>
          <w:rFonts w:hint="eastAsia" w:ascii="Times New Roman" w:hAnsi="Times New Roman"/>
          <w:b/>
          <w:bCs/>
          <w:szCs w:val="32"/>
        </w:rPr>
        <w:t>1．</w:t>
      </w:r>
      <w:r>
        <w:rPr>
          <w:rFonts w:ascii="Times New Roman" w:hAnsi="Times New Roman"/>
          <w:b/>
          <w:bCs/>
          <w:szCs w:val="32"/>
        </w:rPr>
        <w:t>形式审查</w:t>
      </w:r>
      <w:r>
        <w:rPr>
          <w:rFonts w:hint="eastAsia" w:ascii="Times New Roman" w:hAnsi="Times New Roman"/>
          <w:b/>
          <w:bCs/>
          <w:szCs w:val="32"/>
        </w:rPr>
        <w:t>：</w:t>
      </w:r>
      <w:r>
        <w:rPr>
          <w:rFonts w:ascii="Times New Roman" w:hAnsi="Times New Roman"/>
          <w:szCs w:val="32"/>
        </w:rPr>
        <w:t>市科技局对申报材料进行形式审查，对资料提交不完整或填报不规范的项目予以退回修改；对不符合基本申报条件的项目不予通过。</w:t>
      </w:r>
    </w:p>
    <w:p>
      <w:pPr>
        <w:spacing w:line="560" w:lineRule="exact"/>
        <w:ind w:firstLine="642" w:firstLineChars="200"/>
        <w:rPr>
          <w:rFonts w:ascii="Times New Roman" w:hAnsi="Times New Roman"/>
          <w:szCs w:val="32"/>
        </w:rPr>
      </w:pPr>
      <w:r>
        <w:rPr>
          <w:rFonts w:hint="eastAsia" w:ascii="Times New Roman" w:hAnsi="Times New Roman"/>
          <w:b/>
          <w:bCs/>
          <w:szCs w:val="32"/>
        </w:rPr>
        <w:t>2．</w:t>
      </w:r>
      <w:r>
        <w:rPr>
          <w:rFonts w:ascii="Times New Roman" w:hAnsi="Times New Roman"/>
          <w:b/>
          <w:bCs/>
          <w:szCs w:val="32"/>
        </w:rPr>
        <w:t>组织评审</w:t>
      </w:r>
      <w:r>
        <w:rPr>
          <w:rFonts w:hint="eastAsia" w:ascii="Times New Roman" w:hAnsi="Times New Roman"/>
          <w:b/>
          <w:bCs/>
          <w:szCs w:val="32"/>
        </w:rPr>
        <w:t>：</w:t>
      </w:r>
      <w:r>
        <w:rPr>
          <w:rFonts w:hint="eastAsia" w:ascii="Times New Roman" w:hAnsi="Times New Roman"/>
          <w:szCs w:val="32"/>
        </w:rPr>
        <w:t>东莞市科技人才创业扶持计划项目采取现场综合评审方式。市科技局按照相关标准和要求组织</w:t>
      </w:r>
      <w:r>
        <w:rPr>
          <w:rFonts w:ascii="Times New Roman" w:hAnsi="Times New Roman"/>
          <w:szCs w:val="32"/>
        </w:rPr>
        <w:t>行业领军人才、</w:t>
      </w:r>
      <w:r>
        <w:rPr>
          <w:rFonts w:hint="eastAsia" w:ascii="Times New Roman" w:hAnsi="Times New Roman"/>
          <w:szCs w:val="32"/>
        </w:rPr>
        <w:t>专业投资人</w:t>
      </w:r>
      <w:r>
        <w:rPr>
          <w:rFonts w:ascii="Times New Roman" w:hAnsi="Times New Roman"/>
          <w:szCs w:val="32"/>
        </w:rPr>
        <w:t>等组成专家团队</w:t>
      </w:r>
      <w:r>
        <w:rPr>
          <w:rFonts w:hint="eastAsia" w:ascii="Times New Roman" w:hAnsi="Times New Roman"/>
          <w:szCs w:val="32"/>
        </w:rPr>
        <w:t>，专家团队赴各科技人才创业项目开展现场考察，并采取项目路演方式开展评审。</w:t>
      </w:r>
    </w:p>
    <w:p>
      <w:pPr>
        <w:spacing w:line="560" w:lineRule="exact"/>
        <w:ind w:firstLine="642" w:firstLineChars="200"/>
        <w:rPr>
          <w:rFonts w:ascii="Times New Roman" w:hAnsi="Times New Roman"/>
          <w:szCs w:val="32"/>
        </w:rPr>
      </w:pPr>
      <w:r>
        <w:rPr>
          <w:rFonts w:hint="eastAsia" w:ascii="Times New Roman" w:hAnsi="Times New Roman"/>
          <w:b/>
          <w:bCs/>
          <w:szCs w:val="32"/>
        </w:rPr>
        <w:t>3．</w:t>
      </w:r>
      <w:r>
        <w:rPr>
          <w:rFonts w:ascii="Times New Roman" w:hAnsi="Times New Roman"/>
          <w:b/>
          <w:bCs/>
          <w:szCs w:val="32"/>
        </w:rPr>
        <w:t>征求意见</w:t>
      </w:r>
      <w:r>
        <w:rPr>
          <w:rFonts w:hint="eastAsia" w:ascii="Times New Roman" w:hAnsi="Times New Roman"/>
          <w:b/>
          <w:bCs/>
          <w:szCs w:val="32"/>
        </w:rPr>
        <w:t>：</w:t>
      </w:r>
      <w:r>
        <w:rPr>
          <w:rFonts w:ascii="Times New Roman" w:hAnsi="Times New Roman"/>
          <w:szCs w:val="32"/>
        </w:rPr>
        <w:t>根据评审结果，由市科技局对拟入库的科技人才创业计划征求相关部门的意见。</w:t>
      </w:r>
    </w:p>
    <w:p>
      <w:pPr>
        <w:spacing w:line="560" w:lineRule="exact"/>
        <w:ind w:firstLine="642" w:firstLineChars="200"/>
        <w:rPr>
          <w:rFonts w:ascii="Times New Roman" w:hAnsi="Times New Roman"/>
          <w:szCs w:val="32"/>
        </w:rPr>
      </w:pPr>
      <w:r>
        <w:rPr>
          <w:rFonts w:hint="eastAsia" w:ascii="Times New Roman" w:hAnsi="Times New Roman"/>
          <w:b/>
          <w:bCs/>
          <w:szCs w:val="32"/>
        </w:rPr>
        <w:t>4．</w:t>
      </w:r>
      <w:r>
        <w:rPr>
          <w:rFonts w:ascii="Times New Roman" w:hAnsi="Times New Roman"/>
          <w:b/>
          <w:bCs/>
          <w:szCs w:val="32"/>
        </w:rPr>
        <w:t>下达通知</w:t>
      </w:r>
      <w:r>
        <w:rPr>
          <w:rFonts w:hint="eastAsia" w:ascii="Times New Roman" w:hAnsi="Times New Roman"/>
          <w:b/>
          <w:bCs/>
          <w:szCs w:val="32"/>
        </w:rPr>
        <w:t>：</w:t>
      </w:r>
      <w:r>
        <w:rPr>
          <w:rFonts w:ascii="Times New Roman" w:hAnsi="Times New Roman"/>
          <w:szCs w:val="32"/>
        </w:rPr>
        <w:t>由市科技局确定入库</w:t>
      </w:r>
      <w:r>
        <w:rPr>
          <w:rFonts w:hint="eastAsia" w:ascii="Times New Roman" w:hAnsi="Times New Roman"/>
          <w:szCs w:val="32"/>
        </w:rPr>
        <w:t>培育</w:t>
      </w:r>
      <w:r>
        <w:rPr>
          <w:rFonts w:ascii="Times New Roman" w:hAnsi="Times New Roman"/>
          <w:szCs w:val="32"/>
        </w:rPr>
        <w:t>的科技人才创业计划名单，并下达入库通知。</w:t>
      </w:r>
    </w:p>
    <w:p>
      <w:pPr>
        <w:adjustRightInd w:val="0"/>
        <w:spacing w:line="560" w:lineRule="exact"/>
        <w:ind w:firstLine="640" w:firstLineChars="200"/>
        <w:rPr>
          <w:rFonts w:ascii="Times New Roman" w:hAnsi="Times New Roman"/>
          <w:szCs w:val="32"/>
        </w:rPr>
      </w:pPr>
      <w:r>
        <w:rPr>
          <w:rFonts w:hint="eastAsia" w:ascii="Times New Roman" w:hAnsi="Times New Roman" w:eastAsia="黑体"/>
          <w:szCs w:val="32"/>
        </w:rPr>
        <w:t>五、</w:t>
      </w:r>
      <w:r>
        <w:rPr>
          <w:rFonts w:ascii="Times New Roman" w:hAnsi="Times New Roman" w:eastAsia="黑体"/>
          <w:szCs w:val="32"/>
        </w:rPr>
        <w:t>扶持措施</w:t>
      </w:r>
    </w:p>
    <w:p>
      <w:pPr>
        <w:adjustRightInd w:val="0"/>
        <w:spacing w:line="560" w:lineRule="exact"/>
        <w:ind w:firstLine="642" w:firstLineChars="200"/>
        <w:rPr>
          <w:rFonts w:ascii="Times New Roman" w:hAnsi="Times New Roman" w:eastAsia="楷体_GB2312"/>
          <w:b/>
          <w:bCs/>
          <w:szCs w:val="32"/>
        </w:rPr>
      </w:pPr>
      <w:r>
        <w:rPr>
          <w:rFonts w:ascii="Times New Roman" w:hAnsi="Times New Roman" w:eastAsia="楷体_GB2312"/>
          <w:b/>
          <w:bCs/>
          <w:szCs w:val="32"/>
        </w:rPr>
        <w:t>（一）入库培育</w:t>
      </w:r>
    </w:p>
    <w:p>
      <w:pPr>
        <w:adjustRightInd w:val="0"/>
        <w:spacing w:line="560" w:lineRule="exact"/>
        <w:ind w:firstLine="640" w:firstLineChars="200"/>
        <w:rPr>
          <w:rFonts w:ascii="Times New Roman" w:hAnsi="Times New Roman"/>
          <w:szCs w:val="32"/>
        </w:rPr>
      </w:pPr>
      <w:r>
        <w:rPr>
          <w:rFonts w:ascii="Times New Roman" w:hAnsi="Times New Roman"/>
          <w:szCs w:val="32"/>
        </w:rPr>
        <w:t>获入库的科技人才和企业在5年培育期内可叠加享受租金补贴和“里程碑”发展奖励，累计资助额度不超过500万元。具体如下：</w:t>
      </w:r>
    </w:p>
    <w:p>
      <w:pPr>
        <w:adjustRightInd w:val="0"/>
        <w:spacing w:line="560" w:lineRule="exact"/>
        <w:ind w:firstLine="642" w:firstLineChars="200"/>
        <w:rPr>
          <w:rFonts w:ascii="Times New Roman" w:hAnsi="Times New Roman"/>
          <w:szCs w:val="32"/>
        </w:rPr>
      </w:pPr>
      <w:r>
        <w:rPr>
          <w:rFonts w:ascii="Times New Roman" w:hAnsi="Times New Roman"/>
          <w:b/>
          <w:bCs/>
          <w:szCs w:val="32"/>
        </w:rPr>
        <w:t>1．租金补贴：</w:t>
      </w:r>
      <w:r>
        <w:rPr>
          <w:rFonts w:ascii="Times New Roman" w:hAnsi="Times New Roman"/>
          <w:szCs w:val="32"/>
        </w:rPr>
        <w:t>给予入库企业不超过500平米的研发、办公场地租金补贴（不含物业管理费、水电费等），第一年给予全额补贴，第二年和第三年给予减半补贴；对租赁的自用生产厂房，连续3年按实际缴纳租金的50%给予补贴，每年厂房租金补贴不超过50万元。租金补贴每年集中受理兑现一次。</w:t>
      </w:r>
    </w:p>
    <w:p>
      <w:pPr>
        <w:adjustRightInd w:val="0"/>
        <w:spacing w:line="560" w:lineRule="exact"/>
        <w:ind w:firstLine="640" w:firstLineChars="200"/>
        <w:rPr>
          <w:rFonts w:ascii="Times New Roman" w:hAnsi="Times New Roman"/>
          <w:szCs w:val="32"/>
        </w:rPr>
      </w:pPr>
      <w:r>
        <w:rPr>
          <w:rFonts w:ascii="Times New Roman" w:hAnsi="Times New Roman"/>
          <w:szCs w:val="32"/>
        </w:rPr>
        <w:t>鼓励属地镇街（园区）、产业园区、孵化器、加速器、创新创业社区对入库企业给予相应配套扶持优惠。</w:t>
      </w:r>
    </w:p>
    <w:p>
      <w:pPr>
        <w:adjustRightInd w:val="0"/>
        <w:spacing w:line="560" w:lineRule="exact"/>
        <w:ind w:firstLine="642" w:firstLineChars="200"/>
        <w:rPr>
          <w:rFonts w:ascii="Times New Roman" w:hAnsi="Times New Roman"/>
          <w:szCs w:val="32"/>
        </w:rPr>
      </w:pPr>
      <w:r>
        <w:rPr>
          <w:rFonts w:ascii="Times New Roman" w:hAnsi="Times New Roman"/>
          <w:b/>
          <w:bCs/>
          <w:szCs w:val="32"/>
        </w:rPr>
        <w:t>2．“里程碑”发展奖励：</w:t>
      </w:r>
      <w:r>
        <w:rPr>
          <w:rFonts w:ascii="Times New Roman" w:hAnsi="Times New Roman"/>
          <w:szCs w:val="32"/>
        </w:rPr>
        <w:t>入库企业每个年度的研究开发费用总额占同期销售收入总额的比例均超过5%，且达到以下发展目标的给予奖励。</w:t>
      </w:r>
    </w:p>
    <w:p>
      <w:pPr>
        <w:adjustRightInd w:val="0"/>
        <w:spacing w:line="560" w:lineRule="exact"/>
        <w:ind w:firstLine="640" w:firstLineChars="200"/>
        <w:rPr>
          <w:rFonts w:ascii="Times New Roman" w:hAnsi="Times New Roman"/>
          <w:szCs w:val="32"/>
        </w:rPr>
      </w:pPr>
      <w:r>
        <w:rPr>
          <w:rFonts w:ascii="Times New Roman" w:hAnsi="Times New Roman"/>
          <w:szCs w:val="32"/>
        </w:rPr>
        <w:t>（1）自企业注册成立之日起2年内，科技人才携带的科技成果成功转化为产品，企业累计实现销售收入500万元以上的或获得备案的社会专业风险投资机构投资超500万元的，一次性给予入库企业不超过30万元奖励；</w:t>
      </w:r>
    </w:p>
    <w:p>
      <w:pPr>
        <w:adjustRightInd w:val="0"/>
        <w:spacing w:line="560" w:lineRule="exact"/>
        <w:ind w:firstLine="640" w:firstLineChars="200"/>
        <w:rPr>
          <w:rFonts w:ascii="Times New Roman" w:hAnsi="Times New Roman"/>
          <w:szCs w:val="32"/>
        </w:rPr>
      </w:pPr>
      <w:r>
        <w:rPr>
          <w:rFonts w:ascii="Times New Roman" w:hAnsi="Times New Roman"/>
          <w:szCs w:val="32"/>
        </w:rPr>
        <w:t>（2）自企业注册成立之日起3年内，企业获认定为高新技术企业，并且累计实现销售收入1000万元以上的或获得备案的社会专业风险投资机构投资超1000万元的，一次性给予入库企业不超过50万元奖励；</w:t>
      </w:r>
    </w:p>
    <w:p>
      <w:pPr>
        <w:adjustRightInd w:val="0"/>
        <w:spacing w:line="560" w:lineRule="exact"/>
        <w:ind w:firstLine="640" w:firstLineChars="200"/>
        <w:rPr>
          <w:rFonts w:ascii="Times New Roman" w:hAnsi="Times New Roman"/>
          <w:szCs w:val="32"/>
        </w:rPr>
      </w:pPr>
      <w:r>
        <w:rPr>
          <w:rFonts w:ascii="Times New Roman" w:hAnsi="Times New Roman"/>
          <w:szCs w:val="32"/>
        </w:rPr>
        <w:t>（3）自企业注册成立之日起5年内，企业获评定为市级瞪羚企业或累计实现地方经济发展贡献500万元以上的，一次性给予入库企业不超过100万元奖励；</w:t>
      </w:r>
    </w:p>
    <w:p>
      <w:pPr>
        <w:adjustRightInd w:val="0"/>
        <w:spacing w:line="560" w:lineRule="exact"/>
        <w:ind w:firstLine="640" w:firstLineChars="200"/>
        <w:rPr>
          <w:rFonts w:ascii="Times New Roman" w:hAnsi="Times New Roman"/>
          <w:szCs w:val="32"/>
        </w:rPr>
      </w:pPr>
      <w:r>
        <w:rPr>
          <w:rFonts w:ascii="Times New Roman" w:hAnsi="Times New Roman"/>
          <w:szCs w:val="32"/>
        </w:rPr>
        <w:t>（4）自企业注册成立之日起5年内，企业获评定为市级百强创新型企业或累计实现地方经济发展贡献1000万元以上的，一次性给予入库企业不超过200万元奖励。</w:t>
      </w:r>
    </w:p>
    <w:p>
      <w:pPr>
        <w:adjustRightInd w:val="0"/>
        <w:spacing w:line="560" w:lineRule="exact"/>
        <w:ind w:firstLine="642" w:firstLineChars="200"/>
        <w:rPr>
          <w:rFonts w:ascii="Times New Roman" w:hAnsi="Times New Roman" w:eastAsia="楷体_GB2312"/>
          <w:b/>
          <w:bCs/>
          <w:szCs w:val="32"/>
        </w:rPr>
      </w:pPr>
      <w:r>
        <w:rPr>
          <w:rFonts w:ascii="Times New Roman" w:hAnsi="Times New Roman" w:eastAsia="楷体_GB2312"/>
          <w:b/>
          <w:bCs/>
          <w:szCs w:val="32"/>
        </w:rPr>
        <w:t>（二）特色人才认定评定</w:t>
      </w:r>
    </w:p>
    <w:p>
      <w:pPr>
        <w:adjustRightInd w:val="0"/>
        <w:spacing w:line="560" w:lineRule="exact"/>
        <w:ind w:firstLine="640" w:firstLineChars="200"/>
        <w:rPr>
          <w:rFonts w:ascii="Times New Roman" w:hAnsi="Times New Roman"/>
          <w:szCs w:val="32"/>
        </w:rPr>
      </w:pPr>
      <w:r>
        <w:rPr>
          <w:rFonts w:ascii="Times New Roman" w:hAnsi="Times New Roman"/>
          <w:szCs w:val="32"/>
        </w:rPr>
        <w:t>优先支持入库的科技人才认定、评定为我市特色人才，享受相关特殊政策，</w:t>
      </w:r>
      <w:r>
        <w:rPr>
          <w:rFonts w:hint="eastAsia" w:ascii="Times New Roman" w:hAnsi="Times New Roman"/>
          <w:szCs w:val="32"/>
        </w:rPr>
        <w:t>详情请参阅政策原文，</w:t>
      </w:r>
      <w:r>
        <w:rPr>
          <w:rFonts w:ascii="Times New Roman" w:hAnsi="Times New Roman"/>
          <w:szCs w:val="32"/>
        </w:rPr>
        <w:t>部分扶持措施摘要如下：</w:t>
      </w:r>
    </w:p>
    <w:p>
      <w:pPr>
        <w:numPr>
          <w:ilvl w:val="0"/>
          <w:numId w:val="3"/>
        </w:numPr>
        <w:spacing w:line="560" w:lineRule="exact"/>
        <w:ind w:firstLine="642" w:firstLineChars="200"/>
        <w:jc w:val="left"/>
        <w:rPr>
          <w:rFonts w:ascii="Times New Roman" w:hAnsi="Times New Roman"/>
          <w:b/>
          <w:bCs/>
          <w:szCs w:val="32"/>
        </w:rPr>
      </w:pPr>
      <w:r>
        <w:rPr>
          <w:rFonts w:ascii="Times New Roman" w:hAnsi="Times New Roman"/>
          <w:b/>
          <w:bCs/>
          <w:szCs w:val="32"/>
        </w:rPr>
        <w:t>创业扶持：</w:t>
      </w:r>
    </w:p>
    <w:p>
      <w:pPr>
        <w:numPr>
          <w:ilvl w:val="0"/>
          <w:numId w:val="4"/>
        </w:numPr>
        <w:spacing w:line="560" w:lineRule="exact"/>
        <w:ind w:firstLine="640" w:firstLineChars="200"/>
        <w:jc w:val="left"/>
        <w:rPr>
          <w:rFonts w:ascii="Times New Roman" w:hAnsi="Times New Roman"/>
          <w:szCs w:val="32"/>
        </w:rPr>
      </w:pPr>
      <w:r>
        <w:rPr>
          <w:rFonts w:ascii="Times New Roman" w:hAnsi="Times New Roman"/>
          <w:szCs w:val="32"/>
        </w:rPr>
        <w:t>由试点银行提供最高2000万元创业类和最高100万元消费类免抵押、免担保的人才信用贷款，并在贷款利率、还款期限等方面享受银行提供的优惠政策；</w:t>
      </w:r>
    </w:p>
    <w:p>
      <w:pPr>
        <w:numPr>
          <w:ilvl w:val="0"/>
          <w:numId w:val="4"/>
        </w:numPr>
        <w:spacing w:line="560" w:lineRule="exact"/>
        <w:ind w:firstLine="640" w:firstLineChars="200"/>
        <w:jc w:val="left"/>
        <w:rPr>
          <w:rFonts w:ascii="Times New Roman" w:hAnsi="Times New Roman"/>
          <w:szCs w:val="32"/>
        </w:rPr>
      </w:pPr>
      <w:r>
        <w:rPr>
          <w:rFonts w:ascii="Times New Roman" w:hAnsi="Times New Roman"/>
          <w:szCs w:val="32"/>
        </w:rPr>
        <w:t>按实际支付利息最高70%比例给予最长两年最高200万元银行贷款贴息；</w:t>
      </w:r>
    </w:p>
    <w:p>
      <w:pPr>
        <w:numPr>
          <w:ilvl w:val="0"/>
          <w:numId w:val="4"/>
        </w:numPr>
        <w:spacing w:line="560" w:lineRule="exact"/>
        <w:ind w:firstLine="640" w:firstLineChars="200"/>
        <w:jc w:val="left"/>
        <w:rPr>
          <w:rFonts w:ascii="Times New Roman" w:hAnsi="Times New Roman"/>
          <w:szCs w:val="32"/>
        </w:rPr>
      </w:pPr>
      <w:r>
        <w:rPr>
          <w:rFonts w:ascii="Times New Roman" w:hAnsi="Times New Roman"/>
          <w:szCs w:val="32"/>
        </w:rPr>
        <w:t>由各镇街（园区）对辖区内特色人才创办企业给予最长两年，每年不超过6万元租用场地补贴。</w:t>
      </w:r>
    </w:p>
    <w:p>
      <w:pPr>
        <w:spacing w:line="560" w:lineRule="exact"/>
        <w:ind w:firstLine="642" w:firstLineChars="200"/>
        <w:jc w:val="left"/>
        <w:rPr>
          <w:rFonts w:ascii="Times New Roman" w:hAnsi="Times New Roman"/>
          <w:b/>
          <w:bCs/>
          <w:szCs w:val="32"/>
        </w:rPr>
      </w:pPr>
      <w:r>
        <w:rPr>
          <w:rFonts w:ascii="Times New Roman" w:hAnsi="Times New Roman"/>
          <w:b/>
          <w:bCs/>
          <w:szCs w:val="32"/>
        </w:rPr>
        <w:t>2．综合保障：</w:t>
      </w:r>
    </w:p>
    <w:p>
      <w:pPr>
        <w:spacing w:line="560" w:lineRule="exact"/>
        <w:ind w:firstLine="640" w:firstLineChars="200"/>
        <w:rPr>
          <w:rFonts w:ascii="Times New Roman" w:hAnsi="Times New Roman"/>
          <w:szCs w:val="32"/>
        </w:rPr>
      </w:pPr>
      <w:r>
        <w:rPr>
          <w:rFonts w:ascii="Times New Roman" w:hAnsi="Times New Roman"/>
          <w:szCs w:val="32"/>
        </w:rPr>
        <w:t>（1）住房保障：给予2000-6000元/月租房补贴，或给予100-1000万元购房补贴，对于使用我市住房公积金贷款购买、大修、建造自住住房的，住房公积金贷款额度可按规定上浮20%。</w:t>
      </w:r>
    </w:p>
    <w:tbl>
      <w:tblPr>
        <w:tblStyle w:val="5"/>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4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pPr>
              <w:spacing w:line="560" w:lineRule="exact"/>
              <w:jc w:val="center"/>
              <w:rPr>
                <w:rFonts w:ascii="Times New Roman" w:hAnsi="Times New Roman"/>
                <w:b/>
                <w:bCs/>
                <w:sz w:val="24"/>
              </w:rPr>
            </w:pPr>
            <w:r>
              <w:rPr>
                <w:rFonts w:ascii="Times New Roman" w:hAnsi="Times New Roman"/>
                <w:b/>
                <w:bCs/>
                <w:sz w:val="24"/>
              </w:rPr>
              <w:t>人才类别</w:t>
            </w:r>
          </w:p>
        </w:tc>
        <w:tc>
          <w:tcPr>
            <w:tcW w:w="4024" w:type="dxa"/>
          </w:tcPr>
          <w:p>
            <w:pPr>
              <w:spacing w:line="560" w:lineRule="exact"/>
              <w:jc w:val="center"/>
              <w:rPr>
                <w:rFonts w:ascii="Times New Roman" w:hAnsi="Times New Roman"/>
                <w:b/>
                <w:bCs/>
                <w:sz w:val="24"/>
              </w:rPr>
            </w:pPr>
            <w:r>
              <w:rPr>
                <w:rFonts w:ascii="Times New Roman" w:hAnsi="Times New Roman"/>
                <w:b/>
                <w:bCs/>
                <w:sz w:val="24"/>
              </w:rPr>
              <w:t>租房补贴标准</w:t>
            </w:r>
          </w:p>
        </w:tc>
        <w:tc>
          <w:tcPr>
            <w:tcW w:w="4024" w:type="dxa"/>
          </w:tcPr>
          <w:p>
            <w:pPr>
              <w:spacing w:line="560" w:lineRule="exact"/>
              <w:jc w:val="center"/>
              <w:rPr>
                <w:rFonts w:ascii="Times New Roman" w:hAnsi="Times New Roman"/>
                <w:b/>
                <w:bCs/>
                <w:sz w:val="24"/>
              </w:rPr>
            </w:pPr>
            <w:r>
              <w:rPr>
                <w:rFonts w:ascii="Times New Roman" w:hAnsi="Times New Roman"/>
                <w:b/>
                <w:bCs/>
                <w:sz w:val="24"/>
              </w:rPr>
              <w:t>购房补贴标准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pPr>
              <w:spacing w:line="560" w:lineRule="exact"/>
              <w:jc w:val="center"/>
              <w:rPr>
                <w:rFonts w:ascii="Times New Roman" w:hAnsi="Times New Roman"/>
                <w:sz w:val="24"/>
              </w:rPr>
            </w:pPr>
            <w:r>
              <w:rPr>
                <w:rFonts w:ascii="Times New Roman" w:hAnsi="Times New Roman"/>
                <w:sz w:val="24"/>
              </w:rPr>
              <w:t>特级人才</w:t>
            </w:r>
          </w:p>
        </w:tc>
        <w:tc>
          <w:tcPr>
            <w:tcW w:w="4024" w:type="dxa"/>
          </w:tcPr>
          <w:p>
            <w:pPr>
              <w:spacing w:line="560" w:lineRule="exact"/>
              <w:jc w:val="center"/>
              <w:rPr>
                <w:rFonts w:ascii="Times New Roman" w:hAnsi="Times New Roman"/>
                <w:sz w:val="24"/>
                <w:lang w:val="en"/>
              </w:rPr>
            </w:pPr>
            <w:r>
              <w:rPr>
                <w:rFonts w:ascii="Times New Roman" w:hAnsi="Times New Roman"/>
                <w:sz w:val="24"/>
              </w:rPr>
              <w:t>最高6000元</w:t>
            </w:r>
            <w:r>
              <w:rPr>
                <w:rFonts w:ascii="Times New Roman" w:hAnsi="Times New Roman"/>
                <w:sz w:val="24"/>
                <w:lang w:val="en"/>
              </w:rPr>
              <w:t>/月</w:t>
            </w:r>
          </w:p>
        </w:tc>
        <w:tc>
          <w:tcPr>
            <w:tcW w:w="4024" w:type="dxa"/>
          </w:tcPr>
          <w:p>
            <w:pPr>
              <w:spacing w:line="560" w:lineRule="exact"/>
              <w:jc w:val="center"/>
              <w:rPr>
                <w:rFonts w:ascii="Times New Roman" w:hAnsi="Times New Roman"/>
                <w:sz w:val="24"/>
              </w:rPr>
            </w:pPr>
            <w:r>
              <w:rPr>
                <w:rFonts w:ascii="Times New Roman" w:hAnsi="Times New Roman"/>
                <w:sz w:val="24"/>
              </w:rPr>
              <w:t>最高1000万元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pPr>
              <w:spacing w:line="560" w:lineRule="exact"/>
              <w:jc w:val="center"/>
              <w:rPr>
                <w:rFonts w:ascii="Times New Roman" w:hAnsi="Times New Roman"/>
                <w:sz w:val="24"/>
              </w:rPr>
            </w:pPr>
            <w:r>
              <w:rPr>
                <w:rFonts w:ascii="Times New Roman" w:hAnsi="Times New Roman"/>
                <w:sz w:val="24"/>
              </w:rPr>
              <w:t>一类人才</w:t>
            </w:r>
          </w:p>
        </w:tc>
        <w:tc>
          <w:tcPr>
            <w:tcW w:w="4024" w:type="dxa"/>
          </w:tcPr>
          <w:p>
            <w:pPr>
              <w:spacing w:line="560" w:lineRule="exact"/>
              <w:jc w:val="center"/>
              <w:rPr>
                <w:rFonts w:ascii="Times New Roman" w:hAnsi="Times New Roman"/>
                <w:sz w:val="24"/>
                <w:lang w:val="en"/>
              </w:rPr>
            </w:pPr>
            <w:r>
              <w:rPr>
                <w:rFonts w:ascii="Times New Roman" w:hAnsi="Times New Roman"/>
                <w:sz w:val="24"/>
              </w:rPr>
              <w:t>最高5000元</w:t>
            </w:r>
            <w:r>
              <w:rPr>
                <w:rFonts w:ascii="Times New Roman" w:hAnsi="Times New Roman"/>
                <w:sz w:val="24"/>
                <w:lang w:val="en"/>
              </w:rPr>
              <w:t>/月</w:t>
            </w:r>
          </w:p>
        </w:tc>
        <w:tc>
          <w:tcPr>
            <w:tcW w:w="4024" w:type="dxa"/>
          </w:tcPr>
          <w:p>
            <w:pPr>
              <w:spacing w:line="560" w:lineRule="exact"/>
              <w:jc w:val="center"/>
              <w:rPr>
                <w:rFonts w:ascii="Times New Roman" w:hAnsi="Times New Roman"/>
                <w:sz w:val="24"/>
              </w:rPr>
            </w:pPr>
            <w:r>
              <w:rPr>
                <w:rFonts w:ascii="Times New Roman" w:hAnsi="Times New Roman"/>
                <w:sz w:val="24"/>
              </w:rPr>
              <w:t>最高600万元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pPr>
              <w:spacing w:line="560" w:lineRule="exact"/>
              <w:jc w:val="center"/>
              <w:rPr>
                <w:rFonts w:ascii="Times New Roman" w:hAnsi="Times New Roman"/>
                <w:sz w:val="24"/>
              </w:rPr>
            </w:pPr>
            <w:r>
              <w:rPr>
                <w:rFonts w:ascii="Times New Roman" w:hAnsi="Times New Roman"/>
                <w:sz w:val="24"/>
              </w:rPr>
              <w:t>二类人才</w:t>
            </w:r>
          </w:p>
        </w:tc>
        <w:tc>
          <w:tcPr>
            <w:tcW w:w="4024" w:type="dxa"/>
          </w:tcPr>
          <w:p>
            <w:pPr>
              <w:spacing w:line="560" w:lineRule="exact"/>
              <w:jc w:val="center"/>
              <w:rPr>
                <w:rFonts w:ascii="Times New Roman" w:hAnsi="Times New Roman"/>
                <w:sz w:val="24"/>
              </w:rPr>
            </w:pPr>
            <w:r>
              <w:rPr>
                <w:rFonts w:ascii="Times New Roman" w:hAnsi="Times New Roman"/>
                <w:sz w:val="24"/>
              </w:rPr>
              <w:t>最高4000元</w:t>
            </w:r>
            <w:r>
              <w:rPr>
                <w:rFonts w:ascii="Times New Roman" w:hAnsi="Times New Roman"/>
                <w:sz w:val="24"/>
                <w:lang w:val="en"/>
              </w:rPr>
              <w:t>/月</w:t>
            </w:r>
          </w:p>
        </w:tc>
        <w:tc>
          <w:tcPr>
            <w:tcW w:w="4024" w:type="dxa"/>
          </w:tcPr>
          <w:p>
            <w:pPr>
              <w:spacing w:line="560" w:lineRule="exact"/>
              <w:jc w:val="center"/>
              <w:rPr>
                <w:rFonts w:ascii="Times New Roman" w:hAnsi="Times New Roman"/>
                <w:sz w:val="24"/>
              </w:rPr>
            </w:pPr>
            <w:r>
              <w:rPr>
                <w:rFonts w:ascii="Times New Roman" w:hAnsi="Times New Roman"/>
                <w:sz w:val="24"/>
              </w:rPr>
              <w:t>最高400万元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pPr>
              <w:spacing w:line="560" w:lineRule="exact"/>
              <w:jc w:val="center"/>
              <w:rPr>
                <w:rFonts w:ascii="Times New Roman" w:hAnsi="Times New Roman"/>
                <w:sz w:val="24"/>
              </w:rPr>
            </w:pPr>
            <w:r>
              <w:rPr>
                <w:rFonts w:ascii="Times New Roman" w:hAnsi="Times New Roman"/>
                <w:sz w:val="24"/>
              </w:rPr>
              <w:t>三类人才</w:t>
            </w:r>
          </w:p>
        </w:tc>
        <w:tc>
          <w:tcPr>
            <w:tcW w:w="4024" w:type="dxa"/>
          </w:tcPr>
          <w:p>
            <w:pPr>
              <w:spacing w:line="560" w:lineRule="exact"/>
              <w:jc w:val="center"/>
              <w:rPr>
                <w:rFonts w:ascii="Times New Roman" w:hAnsi="Times New Roman"/>
                <w:sz w:val="24"/>
              </w:rPr>
            </w:pPr>
            <w:r>
              <w:rPr>
                <w:rFonts w:ascii="Times New Roman" w:hAnsi="Times New Roman"/>
                <w:sz w:val="24"/>
              </w:rPr>
              <w:t>最高3000元</w:t>
            </w:r>
            <w:r>
              <w:rPr>
                <w:rFonts w:ascii="Times New Roman" w:hAnsi="Times New Roman"/>
                <w:sz w:val="24"/>
                <w:lang w:val="en"/>
              </w:rPr>
              <w:t>/月</w:t>
            </w:r>
          </w:p>
        </w:tc>
        <w:tc>
          <w:tcPr>
            <w:tcW w:w="4024" w:type="dxa"/>
          </w:tcPr>
          <w:p>
            <w:pPr>
              <w:spacing w:line="560" w:lineRule="exact"/>
              <w:jc w:val="center"/>
              <w:rPr>
                <w:rFonts w:ascii="Times New Roman" w:hAnsi="Times New Roman"/>
                <w:sz w:val="24"/>
              </w:rPr>
            </w:pPr>
            <w:r>
              <w:rPr>
                <w:rFonts w:ascii="Times New Roman" w:hAnsi="Times New Roman"/>
                <w:sz w:val="24"/>
              </w:rPr>
              <w:t>最高200万元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tcPr>
          <w:p>
            <w:pPr>
              <w:spacing w:line="560" w:lineRule="exact"/>
              <w:jc w:val="center"/>
              <w:rPr>
                <w:rFonts w:ascii="Times New Roman" w:hAnsi="Times New Roman"/>
                <w:sz w:val="24"/>
              </w:rPr>
            </w:pPr>
            <w:r>
              <w:rPr>
                <w:rFonts w:ascii="Times New Roman" w:hAnsi="Times New Roman"/>
                <w:sz w:val="24"/>
              </w:rPr>
              <w:t>四类人才</w:t>
            </w:r>
          </w:p>
        </w:tc>
        <w:tc>
          <w:tcPr>
            <w:tcW w:w="4024" w:type="dxa"/>
          </w:tcPr>
          <w:p>
            <w:pPr>
              <w:spacing w:line="560" w:lineRule="exact"/>
              <w:jc w:val="center"/>
              <w:rPr>
                <w:rFonts w:ascii="Times New Roman" w:hAnsi="Times New Roman"/>
                <w:sz w:val="24"/>
              </w:rPr>
            </w:pPr>
            <w:r>
              <w:rPr>
                <w:rFonts w:ascii="Times New Roman" w:hAnsi="Times New Roman"/>
                <w:sz w:val="24"/>
              </w:rPr>
              <w:t>最高2000元</w:t>
            </w:r>
            <w:r>
              <w:rPr>
                <w:rFonts w:ascii="Times New Roman" w:hAnsi="Times New Roman"/>
                <w:sz w:val="24"/>
                <w:lang w:val="en"/>
              </w:rPr>
              <w:t>/月</w:t>
            </w:r>
          </w:p>
        </w:tc>
        <w:tc>
          <w:tcPr>
            <w:tcW w:w="4024" w:type="dxa"/>
          </w:tcPr>
          <w:p>
            <w:pPr>
              <w:spacing w:line="560" w:lineRule="exact"/>
              <w:jc w:val="center"/>
              <w:rPr>
                <w:rFonts w:ascii="Times New Roman" w:hAnsi="Times New Roman"/>
                <w:sz w:val="24"/>
              </w:rPr>
            </w:pPr>
            <w:r>
              <w:rPr>
                <w:rFonts w:ascii="Times New Roman" w:hAnsi="Times New Roman"/>
                <w:sz w:val="24"/>
              </w:rPr>
              <w:t>最高100万元</w:t>
            </w:r>
          </w:p>
        </w:tc>
      </w:tr>
    </w:tbl>
    <w:p>
      <w:pPr>
        <w:spacing w:line="560" w:lineRule="exact"/>
        <w:ind w:firstLine="480" w:firstLineChars="200"/>
        <w:jc w:val="center"/>
        <w:rPr>
          <w:rFonts w:ascii="Times New Roman" w:hAnsi="Times New Roman"/>
          <w:sz w:val="24"/>
        </w:rPr>
      </w:pPr>
      <w:r>
        <w:rPr>
          <w:rFonts w:ascii="Times New Roman" w:hAnsi="Times New Roman"/>
          <w:sz w:val="24"/>
        </w:rPr>
        <w:t>表一：租房、购房补贴标准</w:t>
      </w:r>
    </w:p>
    <w:p>
      <w:pPr>
        <w:spacing w:line="560" w:lineRule="exact"/>
        <w:ind w:firstLine="640" w:firstLineChars="200"/>
        <w:rPr>
          <w:rFonts w:ascii="Times New Roman" w:hAnsi="Times New Roman"/>
          <w:szCs w:val="32"/>
        </w:rPr>
      </w:pPr>
      <w:r>
        <w:rPr>
          <w:rFonts w:ascii="Times New Roman" w:hAnsi="Times New Roman"/>
          <w:szCs w:val="32"/>
        </w:rPr>
        <w:t>（2）生活保障：给予15-35万元生活补助。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09"/>
        <w:gridCol w:w="1409"/>
        <w:gridCol w:w="1409"/>
        <w:gridCol w:w="140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vAlign w:val="center"/>
          </w:tcPr>
          <w:p>
            <w:pPr>
              <w:spacing w:line="560" w:lineRule="exact"/>
              <w:jc w:val="center"/>
              <w:rPr>
                <w:rFonts w:ascii="Times New Roman" w:hAnsi="Times New Roman"/>
                <w:sz w:val="24"/>
              </w:rPr>
            </w:pPr>
            <w:r>
              <w:rPr>
                <w:rFonts w:ascii="Times New Roman" w:hAnsi="Times New Roman"/>
                <w:b/>
                <w:bCs/>
                <w:sz w:val="24"/>
              </w:rPr>
              <w:t>人才类别</w:t>
            </w:r>
          </w:p>
        </w:tc>
        <w:tc>
          <w:tcPr>
            <w:tcW w:w="7048" w:type="dxa"/>
            <w:gridSpan w:val="5"/>
          </w:tcPr>
          <w:p>
            <w:pPr>
              <w:spacing w:line="560" w:lineRule="exact"/>
              <w:jc w:val="center"/>
              <w:rPr>
                <w:rFonts w:ascii="Times New Roman" w:hAnsi="Times New Roman"/>
                <w:sz w:val="24"/>
              </w:rPr>
            </w:pPr>
            <w:r>
              <w:rPr>
                <w:rFonts w:ascii="Times New Roman" w:hAnsi="Times New Roman"/>
                <w:b/>
                <w:bCs/>
                <w:sz w:val="24"/>
              </w:rPr>
              <w:t>生活补助标准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tcPr>
          <w:p>
            <w:pPr>
              <w:spacing w:line="560" w:lineRule="exact"/>
              <w:jc w:val="center"/>
              <w:rPr>
                <w:rFonts w:ascii="Times New Roman" w:hAnsi="Times New Roman"/>
                <w:sz w:val="24"/>
              </w:rPr>
            </w:pPr>
          </w:p>
        </w:tc>
        <w:tc>
          <w:tcPr>
            <w:tcW w:w="1409" w:type="dxa"/>
          </w:tcPr>
          <w:p>
            <w:pPr>
              <w:spacing w:line="560" w:lineRule="exact"/>
              <w:jc w:val="center"/>
              <w:rPr>
                <w:rFonts w:ascii="Times New Roman" w:hAnsi="Times New Roman"/>
                <w:sz w:val="24"/>
              </w:rPr>
            </w:pPr>
            <w:r>
              <w:rPr>
                <w:rFonts w:ascii="Times New Roman" w:hAnsi="Times New Roman"/>
                <w:sz w:val="24"/>
              </w:rPr>
              <w:t>第一年</w:t>
            </w:r>
          </w:p>
        </w:tc>
        <w:tc>
          <w:tcPr>
            <w:tcW w:w="1409" w:type="dxa"/>
          </w:tcPr>
          <w:p>
            <w:pPr>
              <w:spacing w:line="560" w:lineRule="exact"/>
              <w:jc w:val="center"/>
              <w:rPr>
                <w:rFonts w:ascii="Times New Roman" w:hAnsi="Times New Roman"/>
                <w:sz w:val="24"/>
              </w:rPr>
            </w:pPr>
            <w:r>
              <w:rPr>
                <w:rFonts w:ascii="Times New Roman" w:hAnsi="Times New Roman"/>
                <w:sz w:val="24"/>
              </w:rPr>
              <w:t>第二年</w:t>
            </w:r>
          </w:p>
        </w:tc>
        <w:tc>
          <w:tcPr>
            <w:tcW w:w="1409" w:type="dxa"/>
          </w:tcPr>
          <w:p>
            <w:pPr>
              <w:spacing w:line="560" w:lineRule="exact"/>
              <w:jc w:val="center"/>
              <w:rPr>
                <w:rFonts w:ascii="Times New Roman" w:hAnsi="Times New Roman"/>
                <w:sz w:val="24"/>
              </w:rPr>
            </w:pPr>
            <w:r>
              <w:rPr>
                <w:rFonts w:ascii="Times New Roman" w:hAnsi="Times New Roman"/>
                <w:sz w:val="24"/>
              </w:rPr>
              <w:t>第三年</w:t>
            </w:r>
          </w:p>
        </w:tc>
        <w:tc>
          <w:tcPr>
            <w:tcW w:w="1409" w:type="dxa"/>
          </w:tcPr>
          <w:p>
            <w:pPr>
              <w:spacing w:line="560" w:lineRule="exact"/>
              <w:jc w:val="center"/>
              <w:rPr>
                <w:rFonts w:ascii="Times New Roman" w:hAnsi="Times New Roman"/>
                <w:sz w:val="24"/>
              </w:rPr>
            </w:pPr>
            <w:r>
              <w:rPr>
                <w:rFonts w:ascii="Times New Roman" w:hAnsi="Times New Roman"/>
                <w:sz w:val="24"/>
              </w:rPr>
              <w:t>第四年</w:t>
            </w:r>
          </w:p>
        </w:tc>
        <w:tc>
          <w:tcPr>
            <w:tcW w:w="1412" w:type="dxa"/>
          </w:tcPr>
          <w:p>
            <w:pPr>
              <w:spacing w:line="560" w:lineRule="exact"/>
              <w:jc w:val="center"/>
              <w:rPr>
                <w:rFonts w:ascii="Times New Roman" w:hAnsi="Times New Roman"/>
                <w:sz w:val="24"/>
              </w:rPr>
            </w:pPr>
            <w:r>
              <w:rPr>
                <w:rFonts w:ascii="Times New Roman" w:hAnsi="Times New Roman"/>
                <w:sz w:val="24"/>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tcPr>
          <w:p>
            <w:pPr>
              <w:spacing w:line="560" w:lineRule="exact"/>
              <w:jc w:val="center"/>
              <w:rPr>
                <w:rFonts w:ascii="Times New Roman" w:hAnsi="Times New Roman"/>
                <w:sz w:val="24"/>
              </w:rPr>
            </w:pPr>
            <w:r>
              <w:rPr>
                <w:rFonts w:ascii="Times New Roman" w:hAnsi="Times New Roman"/>
                <w:sz w:val="24"/>
              </w:rPr>
              <w:t>特级人才</w:t>
            </w:r>
          </w:p>
        </w:tc>
        <w:tc>
          <w:tcPr>
            <w:tcW w:w="1409" w:type="dxa"/>
          </w:tcPr>
          <w:p>
            <w:pPr>
              <w:spacing w:line="560" w:lineRule="exact"/>
              <w:jc w:val="center"/>
              <w:rPr>
                <w:rFonts w:ascii="Times New Roman" w:hAnsi="Times New Roman"/>
                <w:sz w:val="24"/>
              </w:rPr>
            </w:pPr>
            <w:r>
              <w:rPr>
                <w:rFonts w:ascii="Times New Roman" w:hAnsi="Times New Roman"/>
                <w:sz w:val="24"/>
              </w:rPr>
              <w:t>5万元</w:t>
            </w:r>
          </w:p>
        </w:tc>
        <w:tc>
          <w:tcPr>
            <w:tcW w:w="1409" w:type="dxa"/>
          </w:tcPr>
          <w:p>
            <w:pPr>
              <w:spacing w:line="560" w:lineRule="exact"/>
              <w:jc w:val="center"/>
              <w:rPr>
                <w:rFonts w:ascii="Times New Roman" w:hAnsi="Times New Roman"/>
                <w:sz w:val="24"/>
              </w:rPr>
            </w:pPr>
            <w:r>
              <w:rPr>
                <w:rFonts w:ascii="Times New Roman" w:hAnsi="Times New Roman"/>
                <w:sz w:val="24"/>
              </w:rPr>
              <w:t>6万元</w:t>
            </w:r>
          </w:p>
        </w:tc>
        <w:tc>
          <w:tcPr>
            <w:tcW w:w="1409" w:type="dxa"/>
          </w:tcPr>
          <w:p>
            <w:pPr>
              <w:spacing w:line="560" w:lineRule="exact"/>
              <w:jc w:val="center"/>
              <w:rPr>
                <w:rFonts w:ascii="Times New Roman" w:hAnsi="Times New Roman"/>
                <w:sz w:val="24"/>
              </w:rPr>
            </w:pPr>
            <w:r>
              <w:rPr>
                <w:rFonts w:ascii="Times New Roman" w:hAnsi="Times New Roman"/>
                <w:sz w:val="24"/>
              </w:rPr>
              <w:t>7万元</w:t>
            </w:r>
          </w:p>
        </w:tc>
        <w:tc>
          <w:tcPr>
            <w:tcW w:w="1409" w:type="dxa"/>
          </w:tcPr>
          <w:p>
            <w:pPr>
              <w:spacing w:line="560" w:lineRule="exact"/>
              <w:jc w:val="center"/>
              <w:rPr>
                <w:rFonts w:ascii="Times New Roman" w:hAnsi="Times New Roman"/>
                <w:sz w:val="24"/>
              </w:rPr>
            </w:pPr>
            <w:r>
              <w:rPr>
                <w:rFonts w:ascii="Times New Roman" w:hAnsi="Times New Roman"/>
                <w:sz w:val="24"/>
              </w:rPr>
              <w:t>8万元</w:t>
            </w:r>
          </w:p>
        </w:tc>
        <w:tc>
          <w:tcPr>
            <w:tcW w:w="1412" w:type="dxa"/>
          </w:tcPr>
          <w:p>
            <w:pPr>
              <w:spacing w:line="560" w:lineRule="exact"/>
              <w:jc w:val="center"/>
              <w:rPr>
                <w:rFonts w:ascii="Times New Roman" w:hAnsi="Times New Roman"/>
                <w:sz w:val="24"/>
              </w:rPr>
            </w:pPr>
            <w:r>
              <w:rPr>
                <w:rFonts w:ascii="Times New Roman" w:hAnsi="Times New Roman"/>
                <w:sz w:val="24"/>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tcPr>
          <w:p>
            <w:pPr>
              <w:spacing w:line="560" w:lineRule="exact"/>
              <w:jc w:val="center"/>
              <w:rPr>
                <w:rFonts w:ascii="Times New Roman" w:hAnsi="Times New Roman"/>
                <w:sz w:val="24"/>
              </w:rPr>
            </w:pPr>
            <w:r>
              <w:rPr>
                <w:rFonts w:ascii="Times New Roman" w:hAnsi="Times New Roman"/>
                <w:sz w:val="24"/>
              </w:rPr>
              <w:t>一类人才</w:t>
            </w:r>
          </w:p>
        </w:tc>
        <w:tc>
          <w:tcPr>
            <w:tcW w:w="1409" w:type="dxa"/>
          </w:tcPr>
          <w:p>
            <w:pPr>
              <w:spacing w:line="560" w:lineRule="exact"/>
              <w:jc w:val="center"/>
              <w:rPr>
                <w:rFonts w:ascii="Times New Roman" w:hAnsi="Times New Roman"/>
                <w:sz w:val="24"/>
              </w:rPr>
            </w:pPr>
            <w:r>
              <w:rPr>
                <w:rFonts w:ascii="Times New Roman" w:hAnsi="Times New Roman"/>
                <w:sz w:val="24"/>
              </w:rPr>
              <w:t>4万元</w:t>
            </w:r>
          </w:p>
        </w:tc>
        <w:tc>
          <w:tcPr>
            <w:tcW w:w="1409" w:type="dxa"/>
          </w:tcPr>
          <w:p>
            <w:pPr>
              <w:spacing w:line="560" w:lineRule="exact"/>
              <w:jc w:val="center"/>
              <w:rPr>
                <w:rFonts w:ascii="Times New Roman" w:hAnsi="Times New Roman"/>
                <w:sz w:val="24"/>
              </w:rPr>
            </w:pPr>
            <w:r>
              <w:rPr>
                <w:rFonts w:ascii="Times New Roman" w:hAnsi="Times New Roman"/>
                <w:sz w:val="24"/>
              </w:rPr>
              <w:t>5万元</w:t>
            </w:r>
          </w:p>
        </w:tc>
        <w:tc>
          <w:tcPr>
            <w:tcW w:w="1409" w:type="dxa"/>
          </w:tcPr>
          <w:p>
            <w:pPr>
              <w:spacing w:line="560" w:lineRule="exact"/>
              <w:jc w:val="center"/>
              <w:rPr>
                <w:rFonts w:ascii="Times New Roman" w:hAnsi="Times New Roman"/>
                <w:sz w:val="24"/>
              </w:rPr>
            </w:pPr>
            <w:r>
              <w:rPr>
                <w:rFonts w:ascii="Times New Roman" w:hAnsi="Times New Roman"/>
                <w:sz w:val="24"/>
              </w:rPr>
              <w:t>6万元</w:t>
            </w:r>
          </w:p>
        </w:tc>
        <w:tc>
          <w:tcPr>
            <w:tcW w:w="1409" w:type="dxa"/>
          </w:tcPr>
          <w:p>
            <w:pPr>
              <w:spacing w:line="560" w:lineRule="exact"/>
              <w:jc w:val="center"/>
              <w:rPr>
                <w:rFonts w:ascii="Times New Roman" w:hAnsi="Times New Roman"/>
                <w:sz w:val="24"/>
              </w:rPr>
            </w:pPr>
            <w:r>
              <w:rPr>
                <w:rFonts w:ascii="Times New Roman" w:hAnsi="Times New Roman"/>
                <w:sz w:val="24"/>
              </w:rPr>
              <w:t>7万元</w:t>
            </w:r>
          </w:p>
        </w:tc>
        <w:tc>
          <w:tcPr>
            <w:tcW w:w="1412" w:type="dxa"/>
          </w:tcPr>
          <w:p>
            <w:pPr>
              <w:spacing w:line="560" w:lineRule="exact"/>
              <w:jc w:val="center"/>
              <w:rPr>
                <w:rFonts w:ascii="Times New Roman" w:hAnsi="Times New Roman"/>
                <w:sz w:val="24"/>
              </w:rPr>
            </w:pPr>
            <w:r>
              <w:rPr>
                <w:rFonts w:ascii="Times New Roman" w:hAnsi="Times New Roman"/>
                <w:sz w:val="24"/>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tcPr>
          <w:p>
            <w:pPr>
              <w:spacing w:line="560" w:lineRule="exact"/>
              <w:jc w:val="center"/>
              <w:rPr>
                <w:rFonts w:ascii="Times New Roman" w:hAnsi="Times New Roman"/>
                <w:sz w:val="24"/>
              </w:rPr>
            </w:pPr>
            <w:r>
              <w:rPr>
                <w:rFonts w:ascii="Times New Roman" w:hAnsi="Times New Roman"/>
                <w:sz w:val="24"/>
              </w:rPr>
              <w:t>二类人才</w:t>
            </w:r>
          </w:p>
        </w:tc>
        <w:tc>
          <w:tcPr>
            <w:tcW w:w="1409" w:type="dxa"/>
          </w:tcPr>
          <w:p>
            <w:pPr>
              <w:spacing w:line="560" w:lineRule="exact"/>
              <w:jc w:val="center"/>
              <w:rPr>
                <w:rFonts w:ascii="Times New Roman" w:hAnsi="Times New Roman"/>
                <w:sz w:val="24"/>
              </w:rPr>
            </w:pPr>
            <w:r>
              <w:rPr>
                <w:rFonts w:ascii="Times New Roman" w:hAnsi="Times New Roman"/>
                <w:sz w:val="24"/>
              </w:rPr>
              <w:t>3万元</w:t>
            </w:r>
          </w:p>
        </w:tc>
        <w:tc>
          <w:tcPr>
            <w:tcW w:w="1409" w:type="dxa"/>
          </w:tcPr>
          <w:p>
            <w:pPr>
              <w:spacing w:line="560" w:lineRule="exact"/>
              <w:jc w:val="center"/>
              <w:rPr>
                <w:rFonts w:ascii="Times New Roman" w:hAnsi="Times New Roman"/>
                <w:sz w:val="24"/>
              </w:rPr>
            </w:pPr>
            <w:r>
              <w:rPr>
                <w:rFonts w:ascii="Times New Roman" w:hAnsi="Times New Roman"/>
                <w:sz w:val="24"/>
              </w:rPr>
              <w:t>4万元</w:t>
            </w:r>
          </w:p>
        </w:tc>
        <w:tc>
          <w:tcPr>
            <w:tcW w:w="1409" w:type="dxa"/>
          </w:tcPr>
          <w:p>
            <w:pPr>
              <w:spacing w:line="560" w:lineRule="exact"/>
              <w:jc w:val="center"/>
              <w:rPr>
                <w:rFonts w:ascii="Times New Roman" w:hAnsi="Times New Roman"/>
                <w:sz w:val="24"/>
              </w:rPr>
            </w:pPr>
            <w:r>
              <w:rPr>
                <w:rFonts w:ascii="Times New Roman" w:hAnsi="Times New Roman"/>
                <w:sz w:val="24"/>
              </w:rPr>
              <w:t>5万元</w:t>
            </w:r>
          </w:p>
        </w:tc>
        <w:tc>
          <w:tcPr>
            <w:tcW w:w="1409" w:type="dxa"/>
          </w:tcPr>
          <w:p>
            <w:pPr>
              <w:spacing w:line="560" w:lineRule="exact"/>
              <w:jc w:val="center"/>
              <w:rPr>
                <w:rFonts w:ascii="Times New Roman" w:hAnsi="Times New Roman"/>
                <w:sz w:val="24"/>
              </w:rPr>
            </w:pPr>
            <w:r>
              <w:rPr>
                <w:rFonts w:ascii="Times New Roman" w:hAnsi="Times New Roman"/>
                <w:sz w:val="24"/>
              </w:rPr>
              <w:t>6万元</w:t>
            </w:r>
          </w:p>
        </w:tc>
        <w:tc>
          <w:tcPr>
            <w:tcW w:w="1412" w:type="dxa"/>
          </w:tcPr>
          <w:p>
            <w:pPr>
              <w:spacing w:line="560" w:lineRule="exact"/>
              <w:jc w:val="center"/>
              <w:rPr>
                <w:rFonts w:ascii="Times New Roman" w:hAnsi="Times New Roman"/>
                <w:sz w:val="24"/>
              </w:rPr>
            </w:pPr>
            <w:r>
              <w:rPr>
                <w:rFonts w:ascii="Times New Roman" w:hAnsi="Times New Roman"/>
                <w:sz w:val="24"/>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tcPr>
          <w:p>
            <w:pPr>
              <w:spacing w:line="560" w:lineRule="exact"/>
              <w:jc w:val="center"/>
              <w:rPr>
                <w:rFonts w:ascii="Times New Roman" w:hAnsi="Times New Roman"/>
                <w:sz w:val="24"/>
              </w:rPr>
            </w:pPr>
            <w:r>
              <w:rPr>
                <w:rFonts w:ascii="Times New Roman" w:hAnsi="Times New Roman"/>
                <w:sz w:val="24"/>
              </w:rPr>
              <w:t>三类人才</w:t>
            </w:r>
          </w:p>
        </w:tc>
        <w:tc>
          <w:tcPr>
            <w:tcW w:w="1409" w:type="dxa"/>
          </w:tcPr>
          <w:p>
            <w:pPr>
              <w:spacing w:line="560" w:lineRule="exact"/>
              <w:jc w:val="center"/>
              <w:rPr>
                <w:rFonts w:ascii="Times New Roman" w:hAnsi="Times New Roman"/>
                <w:sz w:val="24"/>
              </w:rPr>
            </w:pPr>
            <w:r>
              <w:rPr>
                <w:rFonts w:ascii="Times New Roman" w:hAnsi="Times New Roman"/>
                <w:sz w:val="24"/>
              </w:rPr>
              <w:t>2万元</w:t>
            </w:r>
          </w:p>
        </w:tc>
        <w:tc>
          <w:tcPr>
            <w:tcW w:w="1409" w:type="dxa"/>
          </w:tcPr>
          <w:p>
            <w:pPr>
              <w:spacing w:line="560" w:lineRule="exact"/>
              <w:jc w:val="center"/>
              <w:rPr>
                <w:rFonts w:ascii="Times New Roman" w:hAnsi="Times New Roman"/>
                <w:sz w:val="24"/>
              </w:rPr>
            </w:pPr>
            <w:r>
              <w:rPr>
                <w:rFonts w:ascii="Times New Roman" w:hAnsi="Times New Roman"/>
                <w:sz w:val="24"/>
              </w:rPr>
              <w:t>3万元</w:t>
            </w:r>
          </w:p>
        </w:tc>
        <w:tc>
          <w:tcPr>
            <w:tcW w:w="1409" w:type="dxa"/>
          </w:tcPr>
          <w:p>
            <w:pPr>
              <w:spacing w:line="560" w:lineRule="exact"/>
              <w:jc w:val="center"/>
              <w:rPr>
                <w:rFonts w:ascii="Times New Roman" w:hAnsi="Times New Roman"/>
                <w:sz w:val="24"/>
              </w:rPr>
            </w:pPr>
            <w:r>
              <w:rPr>
                <w:rFonts w:ascii="Times New Roman" w:hAnsi="Times New Roman"/>
                <w:sz w:val="24"/>
              </w:rPr>
              <w:t>4万元</w:t>
            </w:r>
          </w:p>
        </w:tc>
        <w:tc>
          <w:tcPr>
            <w:tcW w:w="1409" w:type="dxa"/>
          </w:tcPr>
          <w:p>
            <w:pPr>
              <w:spacing w:line="560" w:lineRule="exact"/>
              <w:jc w:val="center"/>
              <w:rPr>
                <w:rFonts w:ascii="Times New Roman" w:hAnsi="Times New Roman"/>
                <w:sz w:val="24"/>
              </w:rPr>
            </w:pPr>
            <w:r>
              <w:rPr>
                <w:rFonts w:ascii="Times New Roman" w:hAnsi="Times New Roman"/>
                <w:sz w:val="24"/>
              </w:rPr>
              <w:t>5万元</w:t>
            </w:r>
          </w:p>
        </w:tc>
        <w:tc>
          <w:tcPr>
            <w:tcW w:w="1412" w:type="dxa"/>
          </w:tcPr>
          <w:p>
            <w:pPr>
              <w:spacing w:line="560" w:lineRule="exact"/>
              <w:jc w:val="center"/>
              <w:rPr>
                <w:rFonts w:ascii="Times New Roman" w:hAnsi="Times New Roman"/>
                <w:sz w:val="24"/>
              </w:rPr>
            </w:pPr>
            <w:r>
              <w:rPr>
                <w:rFonts w:ascii="Times New Roman" w:hAnsi="Times New Roman"/>
                <w:sz w:val="24"/>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tcPr>
          <w:p>
            <w:pPr>
              <w:spacing w:line="560" w:lineRule="exact"/>
              <w:jc w:val="center"/>
              <w:rPr>
                <w:rFonts w:ascii="Times New Roman" w:hAnsi="Times New Roman"/>
                <w:sz w:val="24"/>
              </w:rPr>
            </w:pPr>
            <w:r>
              <w:rPr>
                <w:rFonts w:ascii="Times New Roman" w:hAnsi="Times New Roman"/>
                <w:sz w:val="24"/>
              </w:rPr>
              <w:t>四类人才</w:t>
            </w:r>
          </w:p>
        </w:tc>
        <w:tc>
          <w:tcPr>
            <w:tcW w:w="1409" w:type="dxa"/>
          </w:tcPr>
          <w:p>
            <w:pPr>
              <w:spacing w:line="560" w:lineRule="exact"/>
              <w:jc w:val="center"/>
              <w:rPr>
                <w:rFonts w:ascii="Times New Roman" w:hAnsi="Times New Roman"/>
                <w:sz w:val="24"/>
              </w:rPr>
            </w:pPr>
            <w:r>
              <w:rPr>
                <w:rFonts w:ascii="Times New Roman" w:hAnsi="Times New Roman"/>
                <w:sz w:val="24"/>
              </w:rPr>
              <w:t>1万元</w:t>
            </w:r>
          </w:p>
        </w:tc>
        <w:tc>
          <w:tcPr>
            <w:tcW w:w="1409" w:type="dxa"/>
          </w:tcPr>
          <w:p>
            <w:pPr>
              <w:spacing w:line="560" w:lineRule="exact"/>
              <w:jc w:val="center"/>
              <w:rPr>
                <w:rFonts w:ascii="Times New Roman" w:hAnsi="Times New Roman"/>
                <w:sz w:val="24"/>
              </w:rPr>
            </w:pPr>
            <w:r>
              <w:rPr>
                <w:rFonts w:ascii="Times New Roman" w:hAnsi="Times New Roman"/>
                <w:sz w:val="24"/>
              </w:rPr>
              <w:t>2万元</w:t>
            </w:r>
          </w:p>
        </w:tc>
        <w:tc>
          <w:tcPr>
            <w:tcW w:w="1409" w:type="dxa"/>
          </w:tcPr>
          <w:p>
            <w:pPr>
              <w:spacing w:line="560" w:lineRule="exact"/>
              <w:jc w:val="center"/>
              <w:rPr>
                <w:rFonts w:ascii="Times New Roman" w:hAnsi="Times New Roman"/>
                <w:sz w:val="24"/>
              </w:rPr>
            </w:pPr>
            <w:r>
              <w:rPr>
                <w:rFonts w:ascii="Times New Roman" w:hAnsi="Times New Roman"/>
                <w:sz w:val="24"/>
              </w:rPr>
              <w:t>3万元</w:t>
            </w:r>
          </w:p>
        </w:tc>
        <w:tc>
          <w:tcPr>
            <w:tcW w:w="1409" w:type="dxa"/>
          </w:tcPr>
          <w:p>
            <w:pPr>
              <w:spacing w:line="560" w:lineRule="exact"/>
              <w:jc w:val="center"/>
              <w:rPr>
                <w:rFonts w:ascii="Times New Roman" w:hAnsi="Times New Roman"/>
                <w:sz w:val="24"/>
              </w:rPr>
            </w:pPr>
            <w:r>
              <w:rPr>
                <w:rFonts w:ascii="Times New Roman" w:hAnsi="Times New Roman"/>
                <w:sz w:val="24"/>
              </w:rPr>
              <w:t>4万元</w:t>
            </w:r>
          </w:p>
        </w:tc>
        <w:tc>
          <w:tcPr>
            <w:tcW w:w="1412" w:type="dxa"/>
          </w:tcPr>
          <w:p>
            <w:pPr>
              <w:spacing w:line="560" w:lineRule="exact"/>
              <w:jc w:val="center"/>
              <w:rPr>
                <w:rFonts w:ascii="Times New Roman" w:hAnsi="Times New Roman"/>
                <w:sz w:val="24"/>
              </w:rPr>
            </w:pPr>
            <w:r>
              <w:rPr>
                <w:rFonts w:ascii="Times New Roman" w:hAnsi="Times New Roman"/>
                <w:sz w:val="24"/>
              </w:rPr>
              <w:t>5万元</w:t>
            </w:r>
          </w:p>
        </w:tc>
      </w:tr>
    </w:tbl>
    <w:p>
      <w:pPr>
        <w:spacing w:line="560" w:lineRule="exact"/>
        <w:ind w:firstLine="480" w:firstLineChars="200"/>
        <w:jc w:val="center"/>
        <w:rPr>
          <w:rFonts w:ascii="Times New Roman" w:hAnsi="Times New Roman"/>
          <w:szCs w:val="32"/>
        </w:rPr>
      </w:pPr>
      <w:r>
        <w:rPr>
          <w:rFonts w:ascii="Times New Roman" w:hAnsi="Times New Roman"/>
          <w:sz w:val="24"/>
        </w:rPr>
        <w:t>表二：生活补助标准</w:t>
      </w:r>
    </w:p>
    <w:p>
      <w:pPr>
        <w:spacing w:line="560" w:lineRule="exact"/>
        <w:ind w:firstLine="640" w:firstLineChars="200"/>
        <w:rPr>
          <w:rFonts w:ascii="Times New Roman" w:hAnsi="Times New Roman"/>
          <w:szCs w:val="32"/>
        </w:rPr>
      </w:pPr>
      <w:r>
        <w:rPr>
          <w:rFonts w:ascii="Times New Roman" w:hAnsi="Times New Roman"/>
          <w:szCs w:val="32"/>
        </w:rPr>
        <w:t>（3）贡献奖励：按特色人才所缴纳工薪收入个人所得税以及通过技术转让、许可，或以科技成果作价投资等方式取得科技成果转化形成的个人所得税地方留成部分100%的标准给予最长3年，最高100万元奖励。</w:t>
      </w:r>
    </w:p>
    <w:p>
      <w:pPr>
        <w:spacing w:line="560" w:lineRule="exact"/>
        <w:ind w:firstLine="642" w:firstLineChars="200"/>
        <w:jc w:val="left"/>
        <w:rPr>
          <w:rFonts w:ascii="Times New Roman" w:hAnsi="Times New Roman"/>
          <w:szCs w:val="32"/>
        </w:rPr>
      </w:pPr>
      <w:r>
        <w:rPr>
          <w:rFonts w:ascii="Times New Roman" w:hAnsi="Times New Roman"/>
          <w:b/>
          <w:bCs/>
          <w:szCs w:val="32"/>
        </w:rPr>
        <w:t>3．引才奖励</w:t>
      </w:r>
      <w:r>
        <w:rPr>
          <w:rFonts w:hint="eastAsia" w:ascii="Times New Roman" w:hAnsi="Times New Roman"/>
          <w:b/>
          <w:bCs/>
          <w:szCs w:val="32"/>
        </w:rPr>
        <w:t>：</w:t>
      </w:r>
      <w:r>
        <w:rPr>
          <w:rFonts w:ascii="Times New Roman" w:hAnsi="Times New Roman"/>
          <w:szCs w:val="32"/>
        </w:rPr>
        <w:t>对为我市引进特级、一类、二类、三类和四类特色人才的企业、非全额财政核拨的事业单位和各类依法在我市登记注册的组织，每引进1名特色人才，给予5-50万元引才奖励。</w:t>
      </w:r>
    </w:p>
    <w:p>
      <w:pPr>
        <w:adjustRightInd w:val="0"/>
        <w:spacing w:line="560" w:lineRule="exact"/>
        <w:ind w:firstLine="642" w:firstLineChars="200"/>
        <w:rPr>
          <w:rFonts w:ascii="Times New Roman" w:hAnsi="Times New Roman" w:eastAsia="楷体_GB2312"/>
          <w:b/>
          <w:bCs/>
          <w:szCs w:val="32"/>
        </w:rPr>
      </w:pPr>
      <w:r>
        <w:rPr>
          <w:rFonts w:ascii="Times New Roman" w:hAnsi="Times New Roman" w:eastAsia="楷体_GB2312"/>
          <w:b/>
          <w:bCs/>
          <w:szCs w:val="32"/>
        </w:rPr>
        <w:t>（三）国家、省人才工程项目配套服务</w:t>
      </w:r>
    </w:p>
    <w:p>
      <w:pPr>
        <w:adjustRightInd w:val="0"/>
        <w:spacing w:line="560" w:lineRule="exact"/>
        <w:ind w:firstLine="640" w:firstLineChars="200"/>
        <w:rPr>
          <w:rFonts w:ascii="Times New Roman" w:hAnsi="Times New Roman"/>
          <w:szCs w:val="32"/>
        </w:rPr>
      </w:pPr>
      <w:r>
        <w:rPr>
          <w:rFonts w:ascii="Times New Roman" w:hAnsi="Times New Roman"/>
          <w:szCs w:val="32"/>
        </w:rPr>
        <w:t>对获国家、省人才团队立项的项目并且未曾享受市配套或市级项目资助的，在项目验收通过后并根据综合绩效评价结果给予奖励，奖励金额不超过1000万元。综合绩效评价为优秀的，市财政按照国家、省资助额度分别给予1：1和1：0.5奖励；综合绩效评价为合格的，市财政按照国家、省资助额度分别给予1：0.5和1：0.25奖励。</w:t>
      </w:r>
    </w:p>
    <w:p>
      <w:pPr>
        <w:adjustRightInd w:val="0"/>
        <w:spacing w:line="560" w:lineRule="exact"/>
        <w:ind w:firstLine="642" w:firstLineChars="200"/>
        <w:rPr>
          <w:rFonts w:ascii="Times New Roman" w:hAnsi="Times New Roman"/>
          <w:szCs w:val="32"/>
        </w:rPr>
      </w:pPr>
      <w:r>
        <w:rPr>
          <w:rFonts w:hint="eastAsia" w:ascii="Times New Roman" w:hAnsi="Times New Roman"/>
          <w:b/>
          <w:bCs/>
          <w:szCs w:val="32"/>
        </w:rPr>
        <w:t>（四）人才服务</w:t>
      </w:r>
    </w:p>
    <w:p>
      <w:pPr>
        <w:adjustRightInd w:val="0"/>
        <w:spacing w:line="560" w:lineRule="exact"/>
        <w:ind w:firstLine="642" w:firstLineChars="200"/>
        <w:rPr>
          <w:rFonts w:ascii="Times New Roman" w:hAnsi="Times New Roman"/>
          <w:szCs w:val="32"/>
        </w:rPr>
      </w:pPr>
      <w:r>
        <w:rPr>
          <w:rFonts w:hint="eastAsia" w:ascii="Times New Roman" w:hAnsi="Times New Roman"/>
          <w:b/>
          <w:bCs/>
          <w:szCs w:val="32"/>
        </w:rPr>
        <w:t>1．</w:t>
      </w:r>
      <w:r>
        <w:rPr>
          <w:rFonts w:ascii="Times New Roman" w:hAnsi="Times New Roman"/>
          <w:b/>
          <w:bCs/>
          <w:szCs w:val="32"/>
        </w:rPr>
        <w:t>创业导师辅导：</w:t>
      </w:r>
      <w:r>
        <w:rPr>
          <w:rFonts w:hint="eastAsia" w:ascii="Times New Roman" w:hAnsi="Times New Roman"/>
          <w:szCs w:val="32"/>
        </w:rPr>
        <w:t>依托粤港澳大湾区科技领军人才创新驱动中心（东莞）和合作单位资源，邀请相关投资人、企业家、专业领域专家、管理专家等组建创业导师团，与入库团队进行“一对一”配对。导师团对创业团队进行为期一年的陪伴式创业辅导，期满后向市科技局提交辅导报告。</w:t>
      </w:r>
    </w:p>
    <w:p>
      <w:pPr>
        <w:adjustRightInd w:val="0"/>
        <w:spacing w:line="560" w:lineRule="exact"/>
        <w:ind w:firstLine="642" w:firstLineChars="200"/>
        <w:rPr>
          <w:rFonts w:ascii="Times New Roman" w:hAnsi="Times New Roman"/>
          <w:szCs w:val="32"/>
        </w:rPr>
      </w:pPr>
      <w:r>
        <w:rPr>
          <w:rFonts w:hint="eastAsia" w:ascii="Times New Roman" w:hAnsi="Times New Roman"/>
          <w:b/>
          <w:bCs/>
          <w:szCs w:val="32"/>
        </w:rPr>
        <w:t>2．资源对接：</w:t>
      </w:r>
      <w:r>
        <w:rPr>
          <w:rFonts w:hint="eastAsia" w:ascii="Times New Roman" w:hAnsi="Times New Roman"/>
          <w:szCs w:val="32"/>
        </w:rPr>
        <w:t>市科技局向我市相关龙头企业征集开放的技术应用场景、技术攻关等项目信息，精准向入库的培育企业进行发布；推动大企业与培育企业进行对接，定期向大企业、投资机构推送入库企业项目信息，每年组织洽谈对接会，促进大中小企业协同发展；推动银行、融资担保和保险等金融机构，设置专门的金融和保险产品给予融资支持。</w:t>
      </w:r>
    </w:p>
    <w:p>
      <w:pPr>
        <w:adjustRightInd w:val="0"/>
        <w:spacing w:line="560" w:lineRule="exact"/>
        <w:ind w:firstLine="642" w:firstLineChars="200"/>
        <w:rPr>
          <w:rFonts w:ascii="Times New Roman" w:hAnsi="Times New Roman"/>
          <w:szCs w:val="32"/>
        </w:rPr>
      </w:pPr>
      <w:r>
        <w:rPr>
          <w:rFonts w:hint="eastAsia" w:ascii="Times New Roman" w:hAnsi="Times New Roman"/>
          <w:b/>
          <w:bCs/>
          <w:szCs w:val="32"/>
        </w:rPr>
        <w:t>（五）合作单位支持：</w:t>
      </w:r>
      <w:r>
        <w:rPr>
          <w:rFonts w:hint="eastAsia" w:ascii="Times New Roman" w:hAnsi="Times New Roman"/>
          <w:szCs w:val="32"/>
        </w:rPr>
        <w:t>鼓励合作单位结合自身优势在租金补贴、专家服务、产业对接等方面给予扶持。</w:t>
      </w:r>
    </w:p>
    <w:p>
      <w:pPr>
        <w:adjustRightInd w:val="0"/>
        <w:spacing w:line="560" w:lineRule="exact"/>
        <w:ind w:firstLine="640" w:firstLineChars="200"/>
        <w:rPr>
          <w:rFonts w:ascii="Times New Roman" w:hAnsi="Times New Roman"/>
          <w:szCs w:val="32"/>
        </w:rPr>
      </w:pPr>
    </w:p>
    <w:p>
      <w:pPr>
        <w:adjustRightInd w:val="0"/>
        <w:spacing w:line="560" w:lineRule="exact"/>
        <w:ind w:firstLine="640" w:firstLineChars="200"/>
        <w:rPr>
          <w:rFonts w:ascii="Times New Roman" w:hAnsi="Times New Roman"/>
          <w:szCs w:val="32"/>
        </w:rPr>
      </w:pPr>
      <w:r>
        <w:rPr>
          <w:rFonts w:hint="eastAsia" w:ascii="Times New Roman" w:hAnsi="Times New Roman"/>
          <w:szCs w:val="32"/>
        </w:rPr>
        <w:t>附件：部分合作单位名单及简介</w:t>
      </w: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p>
    <w:p>
      <w:pPr>
        <w:spacing w:line="580" w:lineRule="exact"/>
        <w:jc w:val="left"/>
        <w:rPr>
          <w:rFonts w:ascii="黑体" w:hAnsi="黑体" w:eastAsia="黑体" w:cs="黑体"/>
          <w:szCs w:val="32"/>
        </w:rPr>
      </w:pPr>
      <w:r>
        <w:rPr>
          <w:rFonts w:hint="eastAsia" w:ascii="黑体" w:hAnsi="黑体" w:eastAsia="黑体" w:cs="黑体"/>
          <w:szCs w:val="32"/>
        </w:rPr>
        <w:t>附件</w:t>
      </w:r>
    </w:p>
    <w:p>
      <w:pPr>
        <w:spacing w:line="580" w:lineRule="exact"/>
        <w:jc w:val="left"/>
        <w:rPr>
          <w:rFonts w:ascii="黑体" w:hAnsi="黑体" w:eastAsia="黑体" w:cs="黑体"/>
          <w:szCs w:val="32"/>
        </w:rPr>
      </w:pP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部分</w:t>
      </w:r>
      <w:r>
        <w:rPr>
          <w:rFonts w:ascii="Times New Roman" w:hAnsi="Times New Roman" w:eastAsia="方正小标宋简体"/>
          <w:sz w:val="44"/>
          <w:szCs w:val="44"/>
        </w:rPr>
        <w:t>合作单位名单</w:t>
      </w:r>
      <w:r>
        <w:rPr>
          <w:rFonts w:hint="eastAsia" w:ascii="Times New Roman" w:hAnsi="Times New Roman" w:eastAsia="方正小标宋简体"/>
          <w:sz w:val="44"/>
          <w:szCs w:val="44"/>
        </w:rPr>
        <w:t>及简介</w:t>
      </w:r>
    </w:p>
    <w:p>
      <w:pPr>
        <w:spacing w:line="580" w:lineRule="exact"/>
        <w:jc w:val="left"/>
        <w:rPr>
          <w:rFonts w:ascii="Times New Roman" w:hAnsi="Times New Roman" w:eastAsia="方正黑体_GBK"/>
          <w:szCs w:val="32"/>
        </w:rPr>
      </w:pPr>
    </w:p>
    <w:p>
      <w:pPr>
        <w:spacing w:line="580" w:lineRule="exact"/>
        <w:ind w:firstLine="640" w:firstLineChars="200"/>
        <w:jc w:val="left"/>
        <w:rPr>
          <w:rFonts w:ascii="Times New Roman" w:hAnsi="Times New Roman" w:eastAsia="方正黑体_GBK"/>
          <w:szCs w:val="32"/>
        </w:rPr>
      </w:pPr>
      <w:r>
        <w:rPr>
          <w:rFonts w:ascii="Times New Roman" w:hAnsi="Times New Roman" w:eastAsia="方正黑体_GBK"/>
          <w:szCs w:val="32"/>
        </w:rPr>
        <w:t>一、</w:t>
      </w:r>
      <w:r>
        <w:rPr>
          <w:rFonts w:hint="eastAsia" w:ascii="Times New Roman" w:hAnsi="Times New Roman" w:eastAsia="方正黑体_GBK"/>
          <w:szCs w:val="32"/>
        </w:rPr>
        <w:t>创业载体</w:t>
      </w:r>
    </w:p>
    <w:p>
      <w:pPr>
        <w:spacing w:line="580" w:lineRule="exact"/>
        <w:ind w:firstLine="640" w:firstLineChars="200"/>
        <w:jc w:val="left"/>
        <w:rPr>
          <w:rFonts w:ascii="Times New Roman" w:hAnsi="Times New Roman"/>
          <w:szCs w:val="32"/>
        </w:rPr>
      </w:pPr>
      <w:r>
        <w:rPr>
          <w:rFonts w:hint="eastAsia" w:ascii="Times New Roman" w:hAnsi="Times New Roman"/>
          <w:szCs w:val="32"/>
        </w:rPr>
        <w:t>1．</w:t>
      </w:r>
      <w:r>
        <w:rPr>
          <w:rFonts w:ascii="Times New Roman" w:hAnsi="Times New Roman"/>
          <w:szCs w:val="32"/>
        </w:rPr>
        <w:t>松山湖国际创新创业社区</w:t>
      </w:r>
    </w:p>
    <w:p>
      <w:pPr>
        <w:spacing w:line="580" w:lineRule="exact"/>
        <w:ind w:firstLine="640" w:firstLineChars="200"/>
        <w:jc w:val="left"/>
        <w:rPr>
          <w:rFonts w:ascii="Times New Roman" w:hAnsi="Times New Roman"/>
          <w:szCs w:val="32"/>
        </w:rPr>
      </w:pPr>
      <w:r>
        <w:rPr>
          <w:rFonts w:hint="eastAsia" w:ascii="Times New Roman" w:hAnsi="Times New Roman"/>
          <w:szCs w:val="32"/>
        </w:rPr>
        <w:t>2．</w:t>
      </w:r>
      <w:r>
        <w:rPr>
          <w:rFonts w:ascii="Times New Roman" w:hAnsi="Times New Roman"/>
          <w:szCs w:val="32"/>
        </w:rPr>
        <w:t>光大We谷</w:t>
      </w:r>
    </w:p>
    <w:p>
      <w:pPr>
        <w:spacing w:line="580" w:lineRule="exact"/>
        <w:ind w:firstLine="640" w:firstLineChars="200"/>
        <w:jc w:val="left"/>
        <w:rPr>
          <w:rFonts w:ascii="Times New Roman" w:hAnsi="Times New Roman"/>
          <w:szCs w:val="32"/>
        </w:rPr>
      </w:pPr>
      <w:r>
        <w:rPr>
          <w:rFonts w:hint="eastAsia" w:ascii="Times New Roman" w:hAnsi="Times New Roman"/>
          <w:szCs w:val="32"/>
        </w:rPr>
        <w:t>3．</w:t>
      </w:r>
      <w:r>
        <w:rPr>
          <w:rFonts w:ascii="Times New Roman" w:hAnsi="Times New Roman"/>
          <w:szCs w:val="32"/>
        </w:rPr>
        <w:t>中天国际金融创新园</w:t>
      </w:r>
    </w:p>
    <w:p>
      <w:pPr>
        <w:spacing w:line="580" w:lineRule="exact"/>
        <w:ind w:firstLine="640" w:firstLineChars="200"/>
        <w:jc w:val="left"/>
        <w:rPr>
          <w:rFonts w:ascii="Times New Roman" w:hAnsi="Times New Roman"/>
          <w:szCs w:val="32"/>
        </w:rPr>
      </w:pPr>
      <w:r>
        <w:rPr>
          <w:rFonts w:hint="eastAsia" w:ascii="Times New Roman" w:hAnsi="Times New Roman"/>
          <w:szCs w:val="32"/>
        </w:rPr>
        <w:t>4．</w:t>
      </w:r>
      <w:r>
        <w:rPr>
          <w:rFonts w:ascii="Times New Roman" w:hAnsi="Times New Roman"/>
          <w:szCs w:val="32"/>
        </w:rPr>
        <w:t>点栈创业工场</w:t>
      </w:r>
    </w:p>
    <w:p>
      <w:pPr>
        <w:spacing w:line="580" w:lineRule="exact"/>
        <w:ind w:firstLine="640" w:firstLineChars="200"/>
        <w:jc w:val="left"/>
        <w:rPr>
          <w:rFonts w:ascii="Times New Roman" w:hAnsi="Times New Roman"/>
          <w:szCs w:val="32"/>
        </w:rPr>
      </w:pPr>
      <w:r>
        <w:rPr>
          <w:rFonts w:hint="eastAsia" w:ascii="Times New Roman" w:hAnsi="Times New Roman"/>
          <w:szCs w:val="32"/>
        </w:rPr>
        <w:t>5．</w:t>
      </w:r>
      <w:r>
        <w:rPr>
          <w:rFonts w:ascii="Times New Roman" w:hAnsi="Times New Roman"/>
          <w:szCs w:val="32"/>
        </w:rPr>
        <w:t>天安数码城</w:t>
      </w:r>
    </w:p>
    <w:p>
      <w:pPr>
        <w:spacing w:line="580" w:lineRule="exact"/>
        <w:ind w:firstLine="640" w:firstLineChars="200"/>
        <w:jc w:val="left"/>
        <w:rPr>
          <w:rFonts w:ascii="Times New Roman" w:hAnsi="Times New Roman"/>
          <w:szCs w:val="32"/>
        </w:rPr>
      </w:pPr>
      <w:r>
        <w:rPr>
          <w:rFonts w:hint="eastAsia" w:ascii="Times New Roman" w:hAnsi="Times New Roman"/>
          <w:szCs w:val="32"/>
        </w:rPr>
        <w:t>6．</w:t>
      </w:r>
      <w:r>
        <w:rPr>
          <w:rFonts w:ascii="Times New Roman" w:hAnsi="Times New Roman"/>
          <w:szCs w:val="32"/>
        </w:rPr>
        <w:t>中天联科</w:t>
      </w:r>
    </w:p>
    <w:p>
      <w:pPr>
        <w:spacing w:line="580" w:lineRule="exact"/>
        <w:ind w:firstLine="640" w:firstLineChars="200"/>
        <w:jc w:val="left"/>
        <w:rPr>
          <w:rFonts w:ascii="Times New Roman" w:hAnsi="Times New Roman"/>
          <w:szCs w:val="32"/>
        </w:rPr>
      </w:pPr>
      <w:r>
        <w:rPr>
          <w:rFonts w:hint="eastAsia" w:ascii="Times New Roman" w:hAnsi="Times New Roman"/>
          <w:szCs w:val="32"/>
        </w:rPr>
        <w:t>7．</w:t>
      </w:r>
      <w:r>
        <w:rPr>
          <w:rFonts w:ascii="Times New Roman" w:hAnsi="Times New Roman"/>
          <w:szCs w:val="32"/>
        </w:rPr>
        <w:t>天安数码城T5</w:t>
      </w:r>
    </w:p>
    <w:p>
      <w:pPr>
        <w:spacing w:line="580" w:lineRule="exact"/>
        <w:ind w:firstLine="640" w:firstLineChars="200"/>
        <w:jc w:val="left"/>
        <w:rPr>
          <w:rFonts w:ascii="Times New Roman" w:hAnsi="Times New Roman"/>
          <w:szCs w:val="32"/>
        </w:rPr>
      </w:pPr>
      <w:r>
        <w:rPr>
          <w:rFonts w:hint="eastAsia" w:ascii="Times New Roman" w:hAnsi="Times New Roman"/>
          <w:szCs w:val="32"/>
        </w:rPr>
        <w:t>8．</w:t>
      </w:r>
      <w:r>
        <w:rPr>
          <w:rFonts w:ascii="Times New Roman" w:hAnsi="Times New Roman"/>
          <w:szCs w:val="32"/>
        </w:rPr>
        <w:t>京东智谷</w:t>
      </w:r>
    </w:p>
    <w:p>
      <w:pPr>
        <w:spacing w:line="580" w:lineRule="exact"/>
        <w:ind w:firstLine="640" w:firstLineChars="200"/>
        <w:jc w:val="left"/>
        <w:rPr>
          <w:rFonts w:ascii="Times New Roman" w:hAnsi="Times New Roman"/>
          <w:szCs w:val="32"/>
        </w:rPr>
      </w:pPr>
      <w:r>
        <w:rPr>
          <w:rFonts w:hint="eastAsia" w:ascii="Times New Roman" w:hAnsi="Times New Roman"/>
          <w:szCs w:val="32"/>
        </w:rPr>
        <w:t>9．</w:t>
      </w:r>
      <w:r>
        <w:rPr>
          <w:rFonts w:ascii="Times New Roman" w:hAnsi="Times New Roman"/>
          <w:szCs w:val="32"/>
        </w:rPr>
        <w:t>天集•磁海</w:t>
      </w:r>
    </w:p>
    <w:p>
      <w:pPr>
        <w:spacing w:line="580" w:lineRule="exact"/>
        <w:ind w:firstLine="640" w:firstLineChars="200"/>
        <w:jc w:val="left"/>
        <w:rPr>
          <w:rFonts w:ascii="Times New Roman" w:hAnsi="Times New Roman"/>
          <w:szCs w:val="32"/>
        </w:rPr>
      </w:pPr>
      <w:r>
        <w:rPr>
          <w:rFonts w:hint="eastAsia" w:ascii="Times New Roman" w:hAnsi="Times New Roman"/>
          <w:szCs w:val="32"/>
        </w:rPr>
        <w:t>10．</w:t>
      </w:r>
      <w:r>
        <w:rPr>
          <w:rFonts w:ascii="Times New Roman" w:hAnsi="Times New Roman"/>
          <w:szCs w:val="32"/>
        </w:rPr>
        <w:t>滨海湾湾区1号</w:t>
      </w:r>
    </w:p>
    <w:p>
      <w:pPr>
        <w:tabs>
          <w:tab w:val="left" w:pos="420"/>
          <w:tab w:val="left" w:pos="640"/>
        </w:tabs>
        <w:spacing w:line="580" w:lineRule="exact"/>
        <w:ind w:firstLine="640" w:firstLineChars="200"/>
        <w:jc w:val="left"/>
        <w:rPr>
          <w:rFonts w:ascii="Times New Roman" w:hAnsi="Times New Roman"/>
          <w:szCs w:val="32"/>
        </w:rPr>
      </w:pPr>
      <w:r>
        <w:rPr>
          <w:rFonts w:hint="eastAsia" w:ascii="Times New Roman" w:hAnsi="Times New Roman"/>
          <w:szCs w:val="32"/>
        </w:rPr>
        <w:t>11．</w:t>
      </w:r>
      <w:r>
        <w:rPr>
          <w:rFonts w:ascii="Times New Roman" w:hAnsi="Times New Roman"/>
          <w:szCs w:val="32"/>
        </w:rPr>
        <w:t>东莞市国际技术转移中心</w:t>
      </w:r>
    </w:p>
    <w:p>
      <w:pPr>
        <w:tabs>
          <w:tab w:val="left" w:pos="420"/>
          <w:tab w:val="left" w:pos="640"/>
        </w:tabs>
        <w:spacing w:line="580" w:lineRule="exact"/>
        <w:ind w:firstLine="640" w:firstLineChars="200"/>
        <w:jc w:val="left"/>
        <w:rPr>
          <w:rFonts w:ascii="Times New Roman" w:hAnsi="Times New Roman"/>
          <w:szCs w:val="32"/>
        </w:rPr>
      </w:pPr>
      <w:r>
        <w:rPr>
          <w:rFonts w:hint="eastAsia" w:ascii="Times New Roman" w:hAnsi="Times New Roman"/>
          <w:szCs w:val="32"/>
        </w:rPr>
        <w:t>12．</w:t>
      </w:r>
      <w:r>
        <w:rPr>
          <w:rFonts w:ascii="Times New Roman" w:hAnsi="Times New Roman"/>
          <w:szCs w:val="32"/>
        </w:rPr>
        <w:t>汇峰中心</w:t>
      </w:r>
    </w:p>
    <w:p>
      <w:pPr>
        <w:tabs>
          <w:tab w:val="left" w:pos="420"/>
          <w:tab w:val="left" w:pos="640"/>
        </w:tabs>
        <w:spacing w:line="580" w:lineRule="exact"/>
        <w:ind w:firstLine="640" w:firstLineChars="200"/>
        <w:jc w:val="left"/>
        <w:rPr>
          <w:rFonts w:ascii="Times New Roman" w:hAnsi="Times New Roman"/>
          <w:szCs w:val="32"/>
        </w:rPr>
      </w:pPr>
      <w:r>
        <w:rPr>
          <w:rFonts w:hint="eastAsia" w:ascii="Times New Roman" w:hAnsi="Times New Roman"/>
          <w:szCs w:val="32"/>
        </w:rPr>
        <w:t>13．蚂蚁智慧</w:t>
      </w:r>
    </w:p>
    <w:p>
      <w:pPr>
        <w:numPr>
          <w:ilvl w:val="0"/>
          <w:numId w:val="5"/>
        </w:numPr>
        <w:tabs>
          <w:tab w:val="left" w:pos="640"/>
        </w:tabs>
        <w:spacing w:line="580" w:lineRule="exact"/>
        <w:ind w:firstLine="640" w:firstLineChars="200"/>
        <w:jc w:val="left"/>
        <w:rPr>
          <w:rFonts w:ascii="Times New Roman" w:hAnsi="Times New Roman" w:eastAsia="方正黑体_GBK"/>
          <w:szCs w:val="32"/>
        </w:rPr>
      </w:pPr>
      <w:r>
        <w:rPr>
          <w:rFonts w:ascii="Times New Roman" w:hAnsi="Times New Roman" w:eastAsia="方正黑体_GBK"/>
          <w:szCs w:val="32"/>
        </w:rPr>
        <w:t>新型研发机构</w:t>
      </w:r>
    </w:p>
    <w:p>
      <w:pPr>
        <w:tabs>
          <w:tab w:val="left" w:pos="640"/>
        </w:tabs>
        <w:spacing w:line="580" w:lineRule="exact"/>
        <w:ind w:firstLine="640" w:firstLineChars="200"/>
        <w:jc w:val="left"/>
        <w:rPr>
          <w:rFonts w:ascii="Times New Roman" w:hAnsi="Times New Roman"/>
          <w:szCs w:val="32"/>
        </w:rPr>
      </w:pPr>
      <w:r>
        <w:rPr>
          <w:rFonts w:hint="eastAsia" w:ascii="Times New Roman" w:hAnsi="Times New Roman"/>
          <w:szCs w:val="32"/>
        </w:rPr>
        <w:t>1．</w:t>
      </w:r>
      <w:r>
        <w:rPr>
          <w:rFonts w:ascii="Times New Roman" w:hAnsi="Times New Roman"/>
          <w:szCs w:val="32"/>
        </w:rPr>
        <w:t>电子科技大学广东电子信息工程研究院</w:t>
      </w:r>
    </w:p>
    <w:p>
      <w:pPr>
        <w:tabs>
          <w:tab w:val="left" w:pos="640"/>
        </w:tabs>
        <w:spacing w:line="580" w:lineRule="exact"/>
        <w:ind w:firstLine="640" w:firstLineChars="200"/>
        <w:jc w:val="left"/>
        <w:rPr>
          <w:rFonts w:ascii="Times New Roman" w:hAnsi="Times New Roman"/>
          <w:szCs w:val="32"/>
        </w:rPr>
      </w:pPr>
      <w:r>
        <w:rPr>
          <w:rFonts w:hint="eastAsia" w:ascii="Times New Roman" w:hAnsi="Times New Roman"/>
          <w:szCs w:val="32"/>
        </w:rPr>
        <w:t>2．</w:t>
      </w:r>
      <w:r>
        <w:rPr>
          <w:rFonts w:ascii="Times New Roman" w:hAnsi="Times New Roman"/>
          <w:szCs w:val="32"/>
        </w:rPr>
        <w:t>东莞市三航军民融合创新研究院</w:t>
      </w:r>
    </w:p>
    <w:p>
      <w:pPr>
        <w:numPr>
          <w:ilvl w:val="0"/>
          <w:numId w:val="5"/>
        </w:numPr>
        <w:tabs>
          <w:tab w:val="left" w:pos="640"/>
        </w:tabs>
        <w:spacing w:line="580" w:lineRule="exact"/>
        <w:ind w:firstLine="640" w:firstLineChars="200"/>
        <w:jc w:val="left"/>
        <w:rPr>
          <w:rFonts w:ascii="Times New Roman" w:hAnsi="Times New Roman" w:eastAsia="方正黑体_GBK"/>
          <w:szCs w:val="32"/>
        </w:rPr>
      </w:pPr>
      <w:r>
        <w:rPr>
          <w:rFonts w:ascii="Times New Roman" w:hAnsi="Times New Roman" w:eastAsia="方正黑体_GBK"/>
          <w:szCs w:val="32"/>
        </w:rPr>
        <w:t>相关服务机构</w:t>
      </w:r>
    </w:p>
    <w:p>
      <w:pPr>
        <w:tabs>
          <w:tab w:val="left" w:pos="640"/>
        </w:tabs>
        <w:spacing w:line="580" w:lineRule="exact"/>
        <w:ind w:firstLine="640" w:firstLineChars="200"/>
        <w:jc w:val="left"/>
        <w:rPr>
          <w:rFonts w:ascii="仿宋_GB2312" w:hAnsi="仿宋_GB2312" w:cs="仿宋_GB2312"/>
          <w:szCs w:val="32"/>
        </w:rPr>
      </w:pPr>
      <w:r>
        <w:rPr>
          <w:rFonts w:ascii="Times New Roman" w:hAnsi="Times New Roman"/>
          <w:szCs w:val="32"/>
        </w:rPr>
        <w:t>1．粤港澳</w:t>
      </w:r>
      <w:r>
        <w:rPr>
          <w:rFonts w:hint="eastAsia" w:ascii="仿宋_GB2312" w:hAnsi="仿宋_GB2312" w:cs="仿宋_GB2312"/>
          <w:szCs w:val="32"/>
        </w:rPr>
        <w:t>大湾区科技领军人才创新驱动中心（东莞）</w:t>
      </w:r>
    </w:p>
    <w:p>
      <w:pPr>
        <w:tabs>
          <w:tab w:val="left" w:pos="640"/>
        </w:tabs>
        <w:spacing w:line="580" w:lineRule="exact"/>
        <w:ind w:firstLine="640" w:firstLineChars="200"/>
        <w:jc w:val="left"/>
        <w:rPr>
          <w:rFonts w:ascii="Times New Roman" w:hAnsi="Times New Roman"/>
          <w:szCs w:val="32"/>
        </w:rPr>
      </w:pPr>
      <w:r>
        <w:rPr>
          <w:rFonts w:hint="eastAsia" w:ascii="Times New Roman" w:hAnsi="Times New Roman"/>
          <w:szCs w:val="32"/>
        </w:rPr>
        <w:t>2．</w:t>
      </w:r>
      <w:r>
        <w:rPr>
          <w:rFonts w:ascii="Times New Roman" w:hAnsi="Times New Roman"/>
          <w:szCs w:val="32"/>
        </w:rPr>
        <w:t>东莞市科技人才发展促进会</w:t>
      </w:r>
    </w:p>
    <w:p>
      <w:pPr>
        <w:tabs>
          <w:tab w:val="left" w:pos="640"/>
        </w:tabs>
        <w:spacing w:line="580" w:lineRule="exact"/>
        <w:ind w:firstLine="640" w:firstLineChars="200"/>
        <w:jc w:val="left"/>
        <w:rPr>
          <w:rFonts w:ascii="Times New Roman" w:hAnsi="Times New Roman"/>
          <w:szCs w:val="32"/>
        </w:rPr>
      </w:pPr>
      <w:r>
        <w:rPr>
          <w:rFonts w:hint="eastAsia" w:ascii="Times New Roman" w:hAnsi="Times New Roman"/>
          <w:szCs w:val="32"/>
        </w:rPr>
        <w:t>3．</w:t>
      </w:r>
      <w:r>
        <w:rPr>
          <w:rFonts w:ascii="Times New Roman" w:hAnsi="Times New Roman"/>
          <w:szCs w:val="32"/>
        </w:rPr>
        <w:t>广东院士联合会东莞中心</w:t>
      </w:r>
    </w:p>
    <w:p>
      <w:pPr>
        <w:tabs>
          <w:tab w:val="left" w:pos="640"/>
        </w:tabs>
        <w:spacing w:line="580" w:lineRule="exact"/>
        <w:ind w:firstLine="640" w:firstLineChars="200"/>
        <w:jc w:val="left"/>
        <w:rPr>
          <w:rFonts w:ascii="Times New Roman" w:hAnsi="Times New Roman"/>
          <w:szCs w:val="32"/>
        </w:rPr>
      </w:pPr>
      <w:r>
        <w:rPr>
          <w:rFonts w:hint="eastAsia" w:ascii="Times New Roman" w:hAnsi="Times New Roman"/>
          <w:szCs w:val="32"/>
        </w:rPr>
        <w:t>4．</w:t>
      </w:r>
      <w:r>
        <w:rPr>
          <w:rFonts w:ascii="Times New Roman" w:hAnsi="Times New Roman"/>
          <w:szCs w:val="32"/>
        </w:rPr>
        <w:t>东莞市私募基金协会</w:t>
      </w:r>
    </w:p>
    <w:p>
      <w:pPr>
        <w:tabs>
          <w:tab w:val="left" w:pos="640"/>
        </w:tabs>
        <w:spacing w:line="580" w:lineRule="exact"/>
        <w:ind w:firstLine="640" w:firstLineChars="200"/>
        <w:jc w:val="left"/>
        <w:rPr>
          <w:rFonts w:ascii="Times New Roman" w:hAnsi="Times New Roman"/>
          <w:szCs w:val="32"/>
        </w:rPr>
      </w:pPr>
      <w:r>
        <w:rPr>
          <w:rFonts w:hint="eastAsia" w:ascii="Times New Roman" w:hAnsi="Times New Roman"/>
          <w:szCs w:val="32"/>
        </w:rPr>
        <w:t>5．</w:t>
      </w:r>
      <w:r>
        <w:rPr>
          <w:rFonts w:ascii="Times New Roman" w:hAnsi="Times New Roman"/>
          <w:szCs w:val="32"/>
        </w:rPr>
        <w:t>东莞市上市公司协会</w:t>
      </w: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rPr>
          <w:rFonts w:ascii="方正小标宋简体" w:hAnsi="方正小标宋简体" w:eastAsia="方正小标宋简体" w:cs="方正小标宋简体"/>
          <w:sz w:val="40"/>
          <w:szCs w:val="32"/>
        </w:rPr>
      </w:pPr>
    </w:p>
    <w:tbl>
      <w:tblPr>
        <w:tblStyle w:val="4"/>
        <w:tblpPr w:leftFromText="180" w:rightFromText="180" w:vertAnchor="page" w:horzAnchor="page" w:tblpX="1380" w:tblpY="3198"/>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8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325" w:type="dxa"/>
            <w:gridSpan w:val="2"/>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8"/>
                <w:szCs w:val="28"/>
              </w:rPr>
              <w:t>松山湖国际创新创业社区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2"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373" w:type="dxa"/>
            <w:vAlign w:val="center"/>
          </w:tcPr>
          <w:p>
            <w:pPr>
              <w:widowControl/>
              <w:spacing w:line="400" w:lineRule="exact"/>
              <w:ind w:firstLine="480" w:firstLineChars="200"/>
              <w:rPr>
                <w:rFonts w:ascii="Times New Roman" w:hAnsi="Times New Roman"/>
                <w:b/>
                <w:bCs/>
                <w:color w:val="000000"/>
                <w:kern w:val="0"/>
                <w:sz w:val="24"/>
              </w:rPr>
            </w:pPr>
            <w:r>
              <w:rPr>
                <w:rFonts w:ascii="Times New Roman" w:hAnsi="Times New Roman"/>
                <w:color w:val="000000"/>
                <w:kern w:val="0"/>
                <w:sz w:val="24"/>
              </w:rPr>
              <w:t>松山湖国际创新创业社区（以下简称“社区”）位于松山湖科学城核心区域，占地397亩，总建筑面积53万平方米，基建总投资27亿元，划分为科技研发、产业孵化、商务配套及人才安居等四大功能分区，拥有集大学、科研院所、新型研发机构、孵化器、商住配套、科技服务、国际交流等于一体的优越创新创业环境，致力于打造服务创新创业、成果转化及高技术产业培育的创新综合体。目前落户社区的已有12家新型研发机构，设有200余个研发平台，拥有5000多台科研仪器设备，引入东莞市名校研究生培育发展中心及松山湖知识产权综合服务中心两个重要的科技服务平台，建有2个国家级孵化器、1个省级孵化器、6个市级孵化器，孵化了400多家科技企业，有近3000名企业家和科学家在这里扎根，是整个珠三角地区科技源头创新最为集中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2" w:type="dxa"/>
            <w:vMerge w:val="restart"/>
            <w:noWrap/>
            <w:vAlign w:val="center"/>
          </w:tcPr>
          <w:p>
            <w:pPr>
              <w:widowControl/>
              <w:spacing w:line="440" w:lineRule="exact"/>
              <w:jc w:val="center"/>
              <w:rPr>
                <w:rFonts w:ascii="Times New Roman" w:hAnsi="Times New Roman"/>
                <w:color w:val="000000"/>
                <w:kern w:val="0"/>
                <w:sz w:val="24"/>
              </w:rPr>
            </w:pPr>
            <w:r>
              <w:rPr>
                <w:rFonts w:ascii="Times New Roman" w:hAnsi="Times New Roman"/>
                <w:b/>
                <w:bCs/>
                <w:color w:val="000000"/>
                <w:kern w:val="0"/>
                <w:sz w:val="24"/>
              </w:rPr>
              <w:t>扶持措施</w:t>
            </w:r>
          </w:p>
        </w:tc>
        <w:tc>
          <w:tcPr>
            <w:tcW w:w="8373" w:type="dxa"/>
            <w:noWrap/>
            <w:vAlign w:val="center"/>
          </w:tcPr>
          <w:p>
            <w:pPr>
              <w:widowControl/>
              <w:spacing w:line="400" w:lineRule="exact"/>
              <w:jc w:val="left"/>
              <w:rPr>
                <w:rFonts w:ascii="Times New Roman" w:hAnsi="Times New Roman"/>
                <w:b/>
                <w:bCs/>
                <w:color w:val="000000"/>
                <w:kern w:val="0"/>
                <w:sz w:val="24"/>
              </w:rPr>
            </w:pPr>
            <w:r>
              <w:rPr>
                <w:rFonts w:ascii="Times New Roman" w:hAnsi="Times New Roman"/>
                <w:b/>
                <w:bCs/>
                <w:color w:val="000000"/>
                <w:kern w:val="0"/>
                <w:sz w:val="24"/>
              </w:rPr>
              <w:t>租金优惠：</w:t>
            </w:r>
            <w:r>
              <w:rPr>
                <w:rFonts w:ascii="Times New Roman" w:hAnsi="Times New Roman"/>
                <w:color w:val="000000"/>
                <w:kern w:val="0"/>
                <w:sz w:val="24"/>
              </w:rPr>
              <w:t>1．新入驻租金补贴：入驻后第一年给予全额租金补贴，第二年和第三年减半补贴；2．生产厂房租金补贴：入驻或3年内获认定（含复审）高新技术企业的在松山湖功能区租赁自用生产厂房给予实际缴纳租金50%的补贴，每月最多5万元，时长不超过24个月；3．1.5万m</w:t>
            </w:r>
            <w:r>
              <w:rPr>
                <w:rFonts w:ascii="Times New Roman" w:hAnsi="Times New Roman"/>
                <w:color w:val="000000"/>
                <w:kern w:val="0"/>
                <w:sz w:val="24"/>
                <w:vertAlign w:val="superscript"/>
              </w:rPr>
              <w:t>2</w:t>
            </w:r>
            <w:r>
              <w:rPr>
                <w:rFonts w:ascii="Times New Roman" w:hAnsi="Times New Roman"/>
                <w:color w:val="000000"/>
                <w:kern w:val="0"/>
                <w:sz w:val="24"/>
              </w:rPr>
              <w:t>纳入东莞市重点招商园区（低成本空间），给予最长不超过3年，最高不超过50%的租金补贴（优惠），每个项目最高可享受补贴面积1000 m</w:t>
            </w:r>
            <w:r>
              <w:rPr>
                <w:rFonts w:ascii="Times New Roman" w:hAnsi="Times New Roman"/>
                <w:color w:val="000000"/>
                <w:kern w:val="0"/>
                <w:sz w:val="24"/>
                <w:vertAlign w:val="superscript"/>
              </w:rPr>
              <w:t>2</w:t>
            </w:r>
            <w:r>
              <w:rPr>
                <w:rFonts w:ascii="Times New Roman" w:hAnsi="Times New Roman"/>
                <w:color w:val="000000"/>
                <w:kern w:val="0"/>
                <w:sz w:val="24"/>
              </w:rPr>
              <w:t>；4．住房租赁支持：新入户人才，可向市住房城乡建设局申请入驻公共租赁住房或6000元/年的租房补贴。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2" w:type="dxa"/>
            <w:vMerge w:val="continue"/>
            <w:noWrap/>
            <w:vAlign w:val="center"/>
          </w:tcPr>
          <w:p>
            <w:pPr>
              <w:widowControl/>
              <w:spacing w:line="440" w:lineRule="exact"/>
              <w:jc w:val="center"/>
              <w:rPr>
                <w:rFonts w:ascii="Times New Roman" w:hAnsi="Times New Roman"/>
                <w:color w:val="000000"/>
                <w:kern w:val="0"/>
                <w:sz w:val="24"/>
              </w:rPr>
            </w:pPr>
          </w:p>
        </w:tc>
        <w:tc>
          <w:tcPr>
            <w:tcW w:w="8373" w:type="dxa"/>
            <w:noWrap/>
            <w:vAlign w:val="center"/>
          </w:tcPr>
          <w:p>
            <w:pPr>
              <w:widowControl/>
              <w:spacing w:line="400" w:lineRule="exact"/>
              <w:jc w:val="left"/>
              <w:rPr>
                <w:rFonts w:ascii="Times New Roman" w:hAnsi="Times New Roman"/>
                <w:color w:val="000000"/>
                <w:kern w:val="0"/>
                <w:sz w:val="24"/>
              </w:rPr>
            </w:pPr>
            <w:r>
              <w:rPr>
                <w:rFonts w:ascii="Times New Roman" w:hAnsi="Times New Roman"/>
                <w:b/>
                <w:bCs/>
                <w:color w:val="000000"/>
                <w:kern w:val="0"/>
                <w:sz w:val="24"/>
              </w:rPr>
              <w:t>股权投资：</w:t>
            </w:r>
            <w:r>
              <w:rPr>
                <w:rFonts w:ascii="Times New Roman" w:hAnsi="Times New Roman"/>
                <w:color w:val="000000"/>
                <w:kern w:val="0"/>
                <w:sz w:val="24"/>
              </w:rPr>
              <w:t>设立松山湖天使投资资金。松山湖管委会出资设立，东莞科技创新金融集团运作管理，基金总规模10亿元，首期5亿元。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2" w:type="dxa"/>
            <w:vMerge w:val="continue"/>
            <w:noWrap/>
            <w:vAlign w:val="center"/>
          </w:tcPr>
          <w:p>
            <w:pPr>
              <w:widowControl/>
              <w:spacing w:line="440" w:lineRule="exact"/>
              <w:jc w:val="center"/>
              <w:rPr>
                <w:rFonts w:ascii="Times New Roman" w:hAnsi="Times New Roman"/>
                <w:color w:val="000000"/>
                <w:kern w:val="0"/>
                <w:sz w:val="24"/>
              </w:rPr>
            </w:pPr>
          </w:p>
        </w:tc>
        <w:tc>
          <w:tcPr>
            <w:tcW w:w="8373" w:type="dxa"/>
            <w:noWrap/>
            <w:vAlign w:val="center"/>
          </w:tcPr>
          <w:p>
            <w:pPr>
              <w:widowControl/>
              <w:spacing w:line="400" w:lineRule="exact"/>
              <w:jc w:val="left"/>
              <w:rPr>
                <w:rFonts w:ascii="Times New Roman" w:hAnsi="Times New Roman"/>
                <w:color w:val="000000"/>
                <w:kern w:val="0"/>
                <w:sz w:val="24"/>
              </w:rPr>
            </w:pPr>
            <w:r>
              <w:rPr>
                <w:rFonts w:ascii="Times New Roman" w:hAnsi="Times New Roman"/>
                <w:b/>
                <w:bCs/>
                <w:color w:val="000000"/>
                <w:kern w:val="0"/>
                <w:sz w:val="24"/>
              </w:rPr>
              <w:t>扶持奖励：</w:t>
            </w:r>
            <w:r>
              <w:rPr>
                <w:rFonts w:ascii="Times New Roman" w:hAnsi="Times New Roman"/>
                <w:color w:val="000000"/>
                <w:kern w:val="0"/>
                <w:sz w:val="24"/>
              </w:rPr>
              <w:t>1．创新创业启动资金资助：引入风险投资基金入股，或获得国家和省重大科技计划专项支持按照到位资金的10%给予资助，最高50万元；2．共享仪器设备补贴：一次性发放10万元的科技创新券；3．在社区主办、承办活动，按50%给予补贴，每场最高补贴10万元，每年最高100万元；4．入驻后3年内实缴纳税总额达到1000万元以上或利润2000万元以上的，对该企业的招引主体一次性奖励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2" w:type="dxa"/>
            <w:vMerge w:val="continue"/>
            <w:noWrap/>
            <w:vAlign w:val="center"/>
          </w:tcPr>
          <w:p>
            <w:pPr>
              <w:widowControl/>
              <w:spacing w:line="440" w:lineRule="exact"/>
              <w:jc w:val="center"/>
              <w:rPr>
                <w:rFonts w:ascii="Times New Roman" w:hAnsi="Times New Roman"/>
                <w:color w:val="000000"/>
                <w:kern w:val="0"/>
                <w:sz w:val="24"/>
              </w:rPr>
            </w:pPr>
          </w:p>
        </w:tc>
        <w:tc>
          <w:tcPr>
            <w:tcW w:w="8373" w:type="dxa"/>
            <w:noWrap/>
            <w:vAlign w:val="center"/>
          </w:tcPr>
          <w:p>
            <w:pPr>
              <w:widowControl/>
              <w:spacing w:line="400" w:lineRule="exact"/>
              <w:jc w:val="left"/>
              <w:rPr>
                <w:rFonts w:ascii="Times New Roman" w:hAnsi="Times New Roman"/>
                <w:b/>
                <w:bCs/>
                <w:color w:val="000000"/>
                <w:kern w:val="0"/>
                <w:sz w:val="24"/>
              </w:rPr>
            </w:pPr>
            <w:r>
              <w:rPr>
                <w:rFonts w:ascii="Times New Roman" w:hAnsi="Times New Roman"/>
                <w:b/>
                <w:bCs/>
                <w:color w:val="000000"/>
                <w:kern w:val="0"/>
                <w:sz w:val="24"/>
              </w:rPr>
              <w:t>其他：</w:t>
            </w:r>
            <w:r>
              <w:rPr>
                <w:rFonts w:ascii="Times New Roman" w:hAnsi="Times New Roman"/>
                <w:color w:val="000000"/>
                <w:kern w:val="0"/>
                <w:sz w:val="24"/>
              </w:rPr>
              <w:t>提供公办学校学位：纳入到园区统一招生政策体系进行申请，在税收、员工工作时间等入学方面适当降低标准。</w:t>
            </w:r>
          </w:p>
        </w:tc>
      </w:tr>
    </w:tbl>
    <w:p>
      <w:pPr>
        <w:rPr>
          <w:rFonts w:ascii="Times New Roman" w:hAnsi="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vAlign w:val="center"/>
          </w:tcPr>
          <w:p>
            <w:pPr>
              <w:widowControl/>
              <w:spacing w:line="440" w:lineRule="exact"/>
              <w:jc w:val="center"/>
              <w:rPr>
                <w:rFonts w:ascii="Times New Roman" w:hAnsi="Times New Roman"/>
                <w:b/>
                <w:bCs/>
                <w:color w:val="000000"/>
                <w:kern w:val="0"/>
                <w:sz w:val="24"/>
              </w:rPr>
            </w:pPr>
            <w:r>
              <w:rPr>
                <w:rFonts w:hint="eastAsia" w:ascii="Times New Roman" w:hAnsi="Times New Roman"/>
                <w:b/>
                <w:bCs/>
                <w:color w:val="000000"/>
                <w:kern w:val="0"/>
                <w:sz w:val="28"/>
                <w:szCs w:val="28"/>
                <w:lang w:val="en"/>
              </w:rPr>
              <w:t>光大</w:t>
            </w:r>
            <w:r>
              <w:rPr>
                <w:rFonts w:hint="eastAsia" w:ascii="Times New Roman" w:hAnsi="Times New Roman"/>
                <w:b/>
                <w:bCs/>
                <w:color w:val="000000"/>
                <w:kern w:val="0"/>
                <w:sz w:val="28"/>
                <w:szCs w:val="28"/>
              </w:rPr>
              <w:t>We谷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39"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427" w:type="dxa"/>
            <w:vAlign w:val="center"/>
          </w:tcPr>
          <w:p>
            <w:pPr>
              <w:widowControl/>
              <w:spacing w:line="440" w:lineRule="exact"/>
              <w:ind w:firstLine="480" w:firstLineChars="200"/>
              <w:rPr>
                <w:rFonts w:ascii="Times New Roman" w:hAnsi="Times New Roman"/>
                <w:b/>
                <w:bCs/>
                <w:color w:val="000000"/>
                <w:kern w:val="0"/>
                <w:sz w:val="24"/>
              </w:rPr>
            </w:pPr>
            <w:r>
              <w:rPr>
                <w:rFonts w:ascii="Times New Roman" w:hAnsi="Times New Roman"/>
                <w:color w:val="000000"/>
                <w:kern w:val="0"/>
                <w:sz w:val="24"/>
              </w:rPr>
              <w:t>东莞市松山湖光大We谷产业园，是广东光大企业集团有限公司布局多元产业、完善城市综合服务而倾力打造的综合性产业园。园区占地面积约9.8万平方米，项目总投资16亿元，总建筑面积约46.8万平方米。在政府指导和社会各界的支持下，光大We谷荣获“国家级科技企业孵化器”、“国家小型微型企业创业创新示范基地”、“全国青年创业示范园区”、“广东省大数据创业创新孵化园”等国家、省、市等荣誉。同时，也是东莞市唯一集“东莞市软件产业园”“东莞市数字产业集聚试点园区”双牌于一身的产业园区，入驻企业和员工对园区服务品质整体满意度评价高达90%。光大We谷现已形成较为完善的创新创业生态系统，产业运营实力被充分认证，成为了东莞创新孵化的杰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39" w:type="dxa"/>
            <w:vMerge w:val="restart"/>
            <w:noWrap/>
            <w:vAlign w:val="center"/>
          </w:tcPr>
          <w:p>
            <w:pPr>
              <w:widowControl/>
              <w:spacing w:line="440" w:lineRule="exact"/>
              <w:jc w:val="center"/>
              <w:rPr>
                <w:rFonts w:ascii="Times New Roman" w:hAnsi="Times New Roman"/>
                <w:color w:val="000000"/>
                <w:kern w:val="0"/>
                <w:sz w:val="24"/>
              </w:rPr>
            </w:pPr>
            <w:r>
              <w:rPr>
                <w:rFonts w:ascii="Times New Roman" w:hAnsi="Times New Roman"/>
                <w:b/>
                <w:bCs/>
                <w:color w:val="000000"/>
                <w:kern w:val="0"/>
                <w:sz w:val="24"/>
              </w:rPr>
              <w:t>扶持措施</w:t>
            </w:r>
          </w:p>
        </w:tc>
        <w:tc>
          <w:tcPr>
            <w:tcW w:w="8427" w:type="dxa"/>
            <w:noWrap/>
            <w:vAlign w:val="center"/>
          </w:tcPr>
          <w:p>
            <w:pPr>
              <w:widowControl/>
              <w:spacing w:line="440" w:lineRule="exact"/>
              <w:jc w:val="left"/>
              <w:rPr>
                <w:rFonts w:ascii="Times New Roman" w:hAnsi="Times New Roman"/>
                <w:b/>
                <w:bCs/>
                <w:color w:val="000000"/>
                <w:kern w:val="0"/>
                <w:sz w:val="24"/>
              </w:rPr>
            </w:pPr>
            <w:r>
              <w:rPr>
                <w:rFonts w:ascii="Times New Roman" w:hAnsi="Times New Roman"/>
                <w:b/>
                <w:bCs/>
                <w:color w:val="000000"/>
                <w:kern w:val="0"/>
                <w:sz w:val="24"/>
              </w:rPr>
              <w:t>租金优惠：</w:t>
            </w:r>
            <w:r>
              <w:rPr>
                <w:rFonts w:ascii="Times New Roman" w:hAnsi="Times New Roman"/>
                <w:color w:val="000000"/>
                <w:kern w:val="0"/>
                <w:sz w:val="24"/>
              </w:rPr>
              <w:t>1．符合入孵条件的企业入驻，根据企业实际情况即可享受2-12个月的场地免租期优惠。对属于退役军人、返乡创业人员可额外提供3-6个月免租期优惠。2．对于高端人才（特色人才）、港澳台人才以及出国（境）留学回国人才等创业企业入驻园区人才大厦，可享受园区为相关入驻企业提供长达一年的免租期，同时能叠加享受政府部门的扶持政策，最长可获得3年的入驻免租扶持。</w:t>
            </w:r>
            <w:r>
              <w:rPr>
                <w:rFonts w:hint="eastAsia" w:ascii="Times New Roman" w:hAnsi="Times New Roman"/>
                <w:color w:val="000000"/>
                <w:kern w:val="0"/>
                <w:sz w:val="24"/>
              </w:rPr>
              <w:t>3</w:t>
            </w:r>
            <w:r>
              <w:rPr>
                <w:rFonts w:ascii="Times New Roman" w:hAnsi="Times New Roman"/>
                <w:color w:val="000000"/>
                <w:kern w:val="0"/>
                <w:sz w:val="24"/>
              </w:rPr>
              <w:t>．对数字产业（软件产业）企业入驻园区可享受光大We谷数字产业集聚区租金补贴最长36个月，最高15元/月/㎡，并且企业获得以上租金补贴后光大We谷园区按1：0.5给予企业补贴，最高7.5元/月/㎡；同时符合要求的软件产业企业可以享受光大We谷东莞市软件产业园租金补贴最长36个月，第一、二、三年分别可享受最高租金15元/月/㎡、12元/月/㎡、10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9" w:type="dxa"/>
            <w:vMerge w:val="continue"/>
            <w:noWrap/>
            <w:vAlign w:val="center"/>
          </w:tcPr>
          <w:p>
            <w:pPr>
              <w:widowControl/>
              <w:spacing w:line="440" w:lineRule="exact"/>
              <w:jc w:val="center"/>
              <w:rPr>
                <w:rFonts w:ascii="Times New Roman" w:hAnsi="Times New Roman"/>
                <w:color w:val="000000"/>
                <w:kern w:val="0"/>
                <w:sz w:val="24"/>
              </w:rPr>
            </w:pPr>
          </w:p>
        </w:tc>
        <w:tc>
          <w:tcPr>
            <w:tcW w:w="8427"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资源对接：</w:t>
            </w:r>
            <w:r>
              <w:rPr>
                <w:rFonts w:ascii="Times New Roman" w:hAnsi="Times New Roman"/>
                <w:color w:val="000000"/>
                <w:kern w:val="0"/>
                <w:sz w:val="24"/>
              </w:rPr>
              <w:t>推行“光企”系列服务，多形式提供企业服务除常规化点对点专项服务外，光大We谷依托光企会俱乐部，开展形式多样、内容丰富的各类企业服务活动，内容涵盖法律、人力资源、股权设计、投融资等多个企业成长服务所需，创新茶局、学堂等各种形式链接园区企业相关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9" w:type="dxa"/>
            <w:vMerge w:val="continue"/>
            <w:noWrap/>
            <w:vAlign w:val="center"/>
          </w:tcPr>
          <w:p>
            <w:pPr>
              <w:widowControl/>
              <w:spacing w:line="440" w:lineRule="exact"/>
              <w:jc w:val="center"/>
              <w:rPr>
                <w:rFonts w:ascii="Times New Roman" w:hAnsi="Times New Roman"/>
                <w:color w:val="000000"/>
                <w:kern w:val="0"/>
                <w:sz w:val="24"/>
              </w:rPr>
            </w:pPr>
          </w:p>
        </w:tc>
        <w:tc>
          <w:tcPr>
            <w:tcW w:w="8427"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股权投资：</w:t>
            </w:r>
            <w:r>
              <w:rPr>
                <w:rFonts w:ascii="Times New Roman" w:hAnsi="Times New Roman"/>
                <w:color w:val="000000"/>
                <w:kern w:val="0"/>
                <w:sz w:val="24"/>
              </w:rPr>
              <w:t>园区2020年度被认定为广东省科技金融综合服务中心东莞分中心——光大We谷科技金融工作站。同时，园区与母公司光大集团投资基金公司：东莞市中民控股有限公司联合设立2亿元孵化基金，与</w:t>
            </w:r>
            <w:r>
              <w:rPr>
                <w:rFonts w:hint="eastAsia" w:ascii="Times New Roman" w:hAnsi="Times New Roman"/>
                <w:color w:val="000000"/>
                <w:kern w:val="0"/>
                <w:sz w:val="24"/>
              </w:rPr>
              <w:t>多家</w:t>
            </w:r>
            <w:r>
              <w:rPr>
                <w:rFonts w:ascii="Times New Roman" w:hAnsi="Times New Roman"/>
                <w:color w:val="000000"/>
                <w:kern w:val="0"/>
                <w:sz w:val="24"/>
              </w:rPr>
              <w:t>投资机构达成战略合作，在突出孵化载体的基础上，不仅提供常规的投融资服务，更重视为在孵企业提供投后服务。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8"/>
                <w:szCs w:val="28"/>
              </w:rPr>
              <w:t>中天国际金融创新园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39"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427" w:type="dxa"/>
            <w:vAlign w:val="center"/>
          </w:tcPr>
          <w:p>
            <w:pPr>
              <w:widowControl/>
              <w:spacing w:line="440" w:lineRule="exact"/>
              <w:ind w:firstLine="480" w:firstLineChars="200"/>
              <w:rPr>
                <w:rFonts w:ascii="Times New Roman" w:hAnsi="Times New Roman"/>
                <w:color w:val="000000"/>
                <w:kern w:val="0"/>
                <w:sz w:val="24"/>
              </w:rPr>
            </w:pPr>
            <w:r>
              <w:rPr>
                <w:rFonts w:ascii="Times New Roman" w:hAnsi="Times New Roman"/>
                <w:color w:val="000000"/>
                <w:kern w:val="0"/>
                <w:sz w:val="24"/>
              </w:rPr>
              <w:t>中天国际金融园是产业中天历时12年重点打造的科技型产业园区，园区占地面积215.8亩，建筑面积24.5万平方米，其中3.71万平方米作为国家级科技企业孵化器。园区位于松山湖核心区域，毗邻华为南方基地，是一个集总部经济、科技研发、检测实验与创业孵化于一体的战略新兴产业集聚区。</w:t>
            </w:r>
          </w:p>
          <w:p>
            <w:pPr>
              <w:widowControl/>
              <w:spacing w:line="440" w:lineRule="exact"/>
              <w:ind w:firstLine="480" w:firstLineChars="200"/>
              <w:rPr>
                <w:rFonts w:ascii="Times New Roman" w:hAnsi="Times New Roman"/>
                <w:b/>
                <w:bCs/>
                <w:color w:val="000000"/>
                <w:kern w:val="0"/>
                <w:sz w:val="24"/>
              </w:rPr>
            </w:pPr>
            <w:r>
              <w:rPr>
                <w:rFonts w:ascii="Times New Roman" w:hAnsi="Times New Roman"/>
                <w:color w:val="000000"/>
                <w:kern w:val="0"/>
                <w:sz w:val="24"/>
              </w:rPr>
              <w:t>金融园作为“科技资源支撑型”特色载体，以智能制造为主导，辅以前沿新材料。目前园区累计引进培育创新型企业近350家，其中2家世界500强企业、2家上市企业、4家新三版挂牌企业、4家专精特新企业、25家国家高新技术企业、23家规上企业、5家倍增企业、累计共获得专利数983项，集聚科技研发人员2123名，成为松山湖产业集聚效应凸显、科创人文氛围浓厚的园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39" w:type="dxa"/>
            <w:vMerge w:val="restart"/>
            <w:noWrap/>
            <w:vAlign w:val="center"/>
          </w:tcPr>
          <w:p>
            <w:pPr>
              <w:widowControl/>
              <w:spacing w:line="440" w:lineRule="exact"/>
              <w:jc w:val="center"/>
              <w:rPr>
                <w:rFonts w:ascii="Times New Roman" w:hAnsi="Times New Roman"/>
                <w:color w:val="000000"/>
                <w:kern w:val="0"/>
                <w:sz w:val="24"/>
              </w:rPr>
            </w:pPr>
            <w:r>
              <w:rPr>
                <w:rFonts w:ascii="Times New Roman" w:hAnsi="Times New Roman"/>
                <w:b/>
                <w:bCs/>
                <w:color w:val="000000"/>
                <w:kern w:val="0"/>
                <w:sz w:val="24"/>
              </w:rPr>
              <w:t>扶持措施</w:t>
            </w:r>
          </w:p>
        </w:tc>
        <w:tc>
          <w:tcPr>
            <w:tcW w:w="8427" w:type="dxa"/>
            <w:noWrap/>
            <w:vAlign w:val="center"/>
          </w:tcPr>
          <w:p>
            <w:pPr>
              <w:widowControl/>
              <w:spacing w:line="440" w:lineRule="exact"/>
              <w:jc w:val="left"/>
              <w:rPr>
                <w:rFonts w:ascii="Times New Roman" w:hAnsi="Times New Roman"/>
                <w:b/>
                <w:bCs/>
                <w:color w:val="000000"/>
                <w:kern w:val="0"/>
                <w:sz w:val="24"/>
              </w:rPr>
            </w:pPr>
            <w:r>
              <w:rPr>
                <w:rFonts w:ascii="Times New Roman" w:hAnsi="Times New Roman"/>
                <w:b/>
                <w:bCs/>
                <w:color w:val="000000"/>
                <w:kern w:val="0"/>
                <w:sz w:val="24"/>
              </w:rPr>
              <w:t>租金优惠：</w:t>
            </w:r>
            <w:r>
              <w:rPr>
                <w:rFonts w:ascii="Times New Roman" w:hAnsi="Times New Roman"/>
                <w:color w:val="000000"/>
                <w:kern w:val="0"/>
                <w:sz w:val="24"/>
              </w:rPr>
              <w:t>1．低成本空间：园区规划20000平方作为低成本空间，对入驻企业租金减免50%；2．灵创计划：规划10000方物业，对规上且高企以上，年纳税额500万以上企业，免租1-2年。免租期后第二年享受园区纳税额10%-15%的税收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9" w:type="dxa"/>
            <w:vMerge w:val="continue"/>
            <w:noWrap/>
            <w:vAlign w:val="center"/>
          </w:tcPr>
          <w:p>
            <w:pPr>
              <w:widowControl/>
              <w:spacing w:line="440" w:lineRule="exact"/>
              <w:jc w:val="center"/>
              <w:rPr>
                <w:rFonts w:ascii="Times New Roman" w:hAnsi="Times New Roman"/>
                <w:color w:val="000000"/>
                <w:kern w:val="0"/>
                <w:sz w:val="24"/>
              </w:rPr>
            </w:pPr>
          </w:p>
        </w:tc>
        <w:tc>
          <w:tcPr>
            <w:tcW w:w="8427"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资源对接：</w:t>
            </w:r>
            <w:r>
              <w:rPr>
                <w:rFonts w:ascii="Times New Roman" w:hAnsi="Times New Roman"/>
                <w:color w:val="000000"/>
                <w:kern w:val="0"/>
                <w:sz w:val="24"/>
              </w:rPr>
              <w:t>高校、商协会、政府、风投机构、银行等资源。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9" w:type="dxa"/>
            <w:vMerge w:val="continue"/>
            <w:noWrap/>
            <w:vAlign w:val="center"/>
          </w:tcPr>
          <w:p>
            <w:pPr>
              <w:widowControl/>
              <w:spacing w:line="440" w:lineRule="exact"/>
              <w:jc w:val="center"/>
              <w:rPr>
                <w:rFonts w:ascii="Times New Roman" w:hAnsi="Times New Roman"/>
                <w:color w:val="000000"/>
                <w:kern w:val="0"/>
                <w:sz w:val="24"/>
              </w:rPr>
            </w:pPr>
          </w:p>
        </w:tc>
        <w:tc>
          <w:tcPr>
            <w:tcW w:w="8427"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股权投资：</w:t>
            </w:r>
            <w:r>
              <w:rPr>
                <w:rFonts w:ascii="Times New Roman" w:hAnsi="Times New Roman"/>
                <w:color w:val="000000"/>
                <w:kern w:val="0"/>
                <w:sz w:val="24"/>
              </w:rPr>
              <w:t>对园区高成长性计划上市企业，进行10%-15%股权投资。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9" w:type="dxa"/>
            <w:vMerge w:val="continue"/>
            <w:noWrap/>
            <w:vAlign w:val="center"/>
          </w:tcPr>
          <w:p>
            <w:pPr>
              <w:widowControl/>
              <w:spacing w:line="440" w:lineRule="exact"/>
              <w:jc w:val="center"/>
              <w:rPr>
                <w:rFonts w:ascii="Times New Roman" w:hAnsi="Times New Roman"/>
                <w:color w:val="000000"/>
                <w:kern w:val="0"/>
                <w:sz w:val="24"/>
              </w:rPr>
            </w:pPr>
          </w:p>
        </w:tc>
        <w:tc>
          <w:tcPr>
            <w:tcW w:w="8427"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扶持奖励：</w:t>
            </w:r>
            <w:r>
              <w:rPr>
                <w:rFonts w:ascii="Times New Roman" w:hAnsi="Times New Roman"/>
                <w:color w:val="000000"/>
                <w:kern w:val="0"/>
                <w:sz w:val="24"/>
              </w:rPr>
              <w:t>1．高企培育：（1）新认定为高企，奖励30000元；高企复审通过奖励10000元；（2）新认定发明专利，奖励3000元。2．高成长型企业：（1）新晋瞪羚、规上、倍增、专精特新，奖励30000元；（2）新认定科技型中小企业，奖励3000元。3．荣誉资质：获市级荣誉，奖励10000元；获省级荣誉，奖励20000元；获国际级荣誉，奖励30000元。4．获风投企业：（1）获100万以内，奖励3000元；（2）获100-1000万，奖励10000元；（3）获1000万以上，奖励20000元。5</w:t>
            </w:r>
            <w:r>
              <w:rPr>
                <w:rFonts w:ascii="Times New Roman" w:hAnsi="Times New Roman"/>
                <w:color w:val="000000"/>
                <w:kern w:val="0"/>
                <w:sz w:val="24"/>
                <w:lang w:val="en"/>
              </w:rPr>
              <w:t>．</w:t>
            </w:r>
            <w:r>
              <w:rPr>
                <w:rFonts w:ascii="Times New Roman" w:hAnsi="Times New Roman"/>
                <w:color w:val="000000"/>
                <w:kern w:val="0"/>
                <w:sz w:val="24"/>
              </w:rPr>
              <w:t>人才引进：（1）引进国家高层次人才计划人才，奖励30000元/人；</w:t>
            </w:r>
            <w:r>
              <w:rPr>
                <w:rFonts w:ascii="Times New Roman" w:hAnsi="Times New Roman"/>
                <w:color w:val="000000"/>
                <w:kern w:val="0"/>
                <w:sz w:val="24"/>
                <w:lang w:val="en"/>
              </w:rPr>
              <w:t>（2）</w:t>
            </w:r>
            <w:r>
              <w:rPr>
                <w:rFonts w:ascii="Times New Roman" w:hAnsi="Times New Roman"/>
                <w:color w:val="000000"/>
                <w:kern w:val="0"/>
                <w:sz w:val="24"/>
              </w:rPr>
              <w:t>引进院士、珠江人才，奖励20000元/人；（3）引进市领军人才，奖励10000元/人；（4）引进博士人才，奖励3000元/人。</w:t>
            </w:r>
          </w:p>
        </w:tc>
      </w:tr>
    </w:tbl>
    <w:p>
      <w:pPr>
        <w:rPr>
          <w:rFonts w:ascii="Times New Roman" w:hAnsi="Times New Roman"/>
        </w:rPr>
      </w:pPr>
    </w:p>
    <w:p>
      <w:pPr>
        <w:rPr>
          <w:rFonts w:ascii="Times New Roman" w:hAnsi="Times New Roman"/>
        </w:rPr>
      </w:pPr>
    </w:p>
    <w:p>
      <w:pPr>
        <w:rPr>
          <w:rFonts w:ascii="Times New Roman" w:hAnsi="Times New Roman"/>
        </w:rPr>
      </w:pPr>
    </w:p>
    <w:tbl>
      <w:tblPr>
        <w:tblStyle w:val="4"/>
        <w:tblpPr w:leftFromText="180" w:rightFromText="180" w:vertAnchor="text" w:horzAnchor="page" w:tblpX="1425" w:tblpY="18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0" w:type="dxa"/>
            <w:gridSpan w:val="2"/>
            <w:vAlign w:val="center"/>
          </w:tcPr>
          <w:p>
            <w:pPr>
              <w:widowControl/>
              <w:spacing w:line="440" w:lineRule="exact"/>
              <w:jc w:val="center"/>
              <w:rPr>
                <w:rFonts w:ascii="Times New Roman" w:hAnsi="Times New Roman"/>
                <w:b/>
                <w:bCs/>
                <w:color w:val="000000"/>
                <w:kern w:val="0"/>
                <w:sz w:val="28"/>
                <w:szCs w:val="28"/>
              </w:rPr>
            </w:pPr>
            <w:r>
              <w:rPr>
                <w:rFonts w:ascii="Times New Roman" w:hAnsi="Times New Roman"/>
                <w:b/>
                <w:bCs/>
                <w:color w:val="000000"/>
                <w:kern w:val="0"/>
                <w:sz w:val="28"/>
                <w:szCs w:val="28"/>
              </w:rPr>
              <w:t>点栈创业工场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36" w:type="dxa"/>
            <w:vAlign w:val="center"/>
          </w:tcPr>
          <w:p>
            <w:pPr>
              <w:widowControl/>
              <w:spacing w:line="440" w:lineRule="exact"/>
              <w:ind w:firstLine="480" w:firstLineChars="200"/>
              <w:rPr>
                <w:rFonts w:ascii="Times New Roman" w:hAnsi="Times New Roman"/>
                <w:kern w:val="0"/>
                <w:sz w:val="24"/>
              </w:rPr>
            </w:pPr>
            <w:r>
              <w:rPr>
                <w:rFonts w:ascii="Times New Roman" w:hAnsi="Times New Roman"/>
                <w:kern w:val="0"/>
                <w:sz w:val="24"/>
              </w:rPr>
              <w:t>广东中青创投企业管理有限公司（以下简称“中青创投”），由广东光大企业集团与广东省青年创业就业基金会于2017年8月合作成立，是青年创业赋能平台服务型司。中青创投是共青团广东省委员会和广东股权交易中心授权作为“中国青创板”综合金融服务平台专属服务单位，按照协同推动、政策扶持、市场运作的原则，以创新孵化+综合服务为方向，为青年创业项目和企业提供上板挂牌、孵化培育、投融资辅导、创业培训、路演宣传等综合服务，大力促进青年创业公司与“中国青创板”优势资源协同整合，推进建设“中国青创板”特色产业生态与开放平台，致力于打造成扎根大湾区、辐射全国、面向世界的产业化创新创业赋能平台。</w:t>
            </w:r>
          </w:p>
          <w:p>
            <w:pPr>
              <w:widowControl/>
              <w:spacing w:line="440" w:lineRule="exact"/>
              <w:ind w:firstLine="480" w:firstLineChars="200"/>
              <w:rPr>
                <w:rFonts w:ascii="Times New Roman" w:hAnsi="Times New Roman"/>
                <w:kern w:val="0"/>
                <w:sz w:val="24"/>
              </w:rPr>
            </w:pPr>
            <w:r>
              <w:rPr>
                <w:rFonts w:ascii="Times New Roman" w:hAnsi="Times New Roman"/>
                <w:kern w:val="0"/>
                <w:sz w:val="24"/>
              </w:rPr>
              <w:t>点栈创业工场（“中国青创板”孵化基地）分别位于北京、广州、东莞三地，为服务青年创业项目打造的线下孵化平台，由广东光大企业集团建设，广东中青创投企业管理有限公司运营。“中国青创板”孵化基地，主要面向高新科技、产业互联网领域的青年人才项目，致力于成为项目孵化、资源链接、人才集聚的高端青年创新创业赋能平台。为青年创业者提供孵化培育、上板展示、投融资对接、大赛论坛、创业培训、政策咨询、粤港澳交流等多元化的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widowControl/>
              <w:spacing w:line="440" w:lineRule="exact"/>
              <w:jc w:val="center"/>
              <w:rPr>
                <w:rFonts w:ascii="Times New Roman" w:hAnsi="Times New Roman"/>
                <w:color w:val="000000"/>
                <w:kern w:val="0"/>
                <w:sz w:val="24"/>
              </w:rPr>
            </w:pPr>
            <w:r>
              <w:rPr>
                <w:rFonts w:ascii="Times New Roman" w:hAnsi="Times New Roman"/>
                <w:b/>
                <w:bCs/>
                <w:color w:val="000000"/>
                <w:kern w:val="0"/>
                <w:sz w:val="24"/>
              </w:rPr>
              <w:t>扶持措施</w:t>
            </w:r>
          </w:p>
        </w:tc>
        <w:tc>
          <w:tcPr>
            <w:tcW w:w="8236" w:type="dxa"/>
            <w:noWrap/>
            <w:vAlign w:val="center"/>
          </w:tcPr>
          <w:p>
            <w:pPr>
              <w:widowControl/>
              <w:spacing w:line="440" w:lineRule="exact"/>
              <w:jc w:val="left"/>
              <w:rPr>
                <w:rFonts w:ascii="Times New Roman" w:hAnsi="Times New Roman"/>
                <w:kern w:val="0"/>
                <w:sz w:val="24"/>
              </w:rPr>
            </w:pPr>
            <w:r>
              <w:rPr>
                <w:rFonts w:ascii="Times New Roman" w:hAnsi="Times New Roman"/>
                <w:b/>
                <w:bCs/>
                <w:kern w:val="0"/>
                <w:sz w:val="24"/>
              </w:rPr>
              <w:t>租金优惠：</w:t>
            </w:r>
            <w:r>
              <w:rPr>
                <w:rFonts w:ascii="Times New Roman" w:hAnsi="Times New Roman"/>
                <w:kern w:val="0"/>
                <w:sz w:val="24"/>
              </w:rPr>
              <w:t>点栈创业工场（北京、广州、东莞三地）免租1个月补贴。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36" w:type="dxa"/>
            <w:noWrap/>
            <w:vAlign w:val="center"/>
          </w:tcPr>
          <w:p>
            <w:pPr>
              <w:widowControl/>
              <w:spacing w:line="440" w:lineRule="exact"/>
              <w:jc w:val="left"/>
              <w:rPr>
                <w:rFonts w:ascii="Times New Roman" w:hAnsi="Times New Roman"/>
                <w:kern w:val="0"/>
                <w:sz w:val="24"/>
              </w:rPr>
            </w:pPr>
            <w:r>
              <w:rPr>
                <w:rFonts w:ascii="Times New Roman" w:hAnsi="Times New Roman"/>
                <w:b/>
                <w:bCs/>
                <w:kern w:val="0"/>
                <w:sz w:val="24"/>
              </w:rPr>
              <w:t>资源对接：</w:t>
            </w:r>
            <w:r>
              <w:rPr>
                <w:rFonts w:hint="eastAsia" w:ascii="Times New Roman" w:hAnsi="Times New Roman"/>
                <w:kern w:val="0"/>
                <w:sz w:val="24"/>
              </w:rPr>
              <w:t>1．</w:t>
            </w:r>
            <w:r>
              <w:rPr>
                <w:rFonts w:ascii="Times New Roman" w:hAnsi="Times New Roman"/>
                <w:kern w:val="0"/>
                <w:sz w:val="24"/>
              </w:rPr>
              <w:t>提供一对一企业投融资服务；2</w:t>
            </w:r>
            <w:r>
              <w:rPr>
                <w:rFonts w:ascii="Times New Roman" w:hAnsi="Times New Roman"/>
                <w:kern w:val="0"/>
                <w:sz w:val="24"/>
                <w:lang w:val="en"/>
              </w:rPr>
              <w:t>．</w:t>
            </w:r>
            <w:r>
              <w:rPr>
                <w:rFonts w:ascii="Times New Roman" w:hAnsi="Times New Roman"/>
                <w:kern w:val="0"/>
                <w:sz w:val="24"/>
              </w:rPr>
              <w:t>省内各项创业大赛参赛及赛前辅导；</w:t>
            </w:r>
            <w:r>
              <w:rPr>
                <w:rFonts w:ascii="Times New Roman" w:hAnsi="Times New Roman"/>
                <w:kern w:val="0"/>
                <w:sz w:val="24"/>
                <w:lang w:val="en"/>
              </w:rPr>
              <w:t>3．</w:t>
            </w:r>
            <w:r>
              <w:rPr>
                <w:rFonts w:ascii="Times New Roman" w:hAnsi="Times New Roman"/>
                <w:kern w:val="0"/>
                <w:sz w:val="24"/>
              </w:rPr>
              <w:t>行业投融资对接会路演；</w:t>
            </w:r>
            <w:r>
              <w:rPr>
                <w:rFonts w:ascii="Times New Roman" w:hAnsi="Times New Roman"/>
                <w:kern w:val="0"/>
                <w:sz w:val="24"/>
                <w:lang w:val="en"/>
              </w:rPr>
              <w:t>4．</w:t>
            </w:r>
            <w:r>
              <w:rPr>
                <w:rFonts w:ascii="Times New Roman" w:hAnsi="Times New Roman"/>
                <w:kern w:val="0"/>
                <w:sz w:val="24"/>
              </w:rPr>
              <w:t>中小企业挂板展示，“中国青创板”线上线下展示。</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vAlign w:val="center"/>
          </w:tcPr>
          <w:p>
            <w:pPr>
              <w:widowControl/>
              <w:spacing w:line="440" w:lineRule="exact"/>
              <w:jc w:val="center"/>
              <w:rPr>
                <w:rFonts w:ascii="Times New Roman" w:hAnsi="Times New Roman"/>
                <w:b/>
                <w:bCs/>
                <w:color w:val="000000"/>
                <w:kern w:val="0"/>
                <w:sz w:val="28"/>
                <w:szCs w:val="28"/>
              </w:rPr>
            </w:pPr>
            <w:r>
              <w:rPr>
                <w:rFonts w:ascii="Times New Roman" w:hAnsi="Times New Roman"/>
                <w:b/>
                <w:bCs/>
                <w:color w:val="000000"/>
                <w:kern w:val="0"/>
                <w:sz w:val="28"/>
                <w:szCs w:val="28"/>
              </w:rPr>
              <w:t>天安数码城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2"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304" w:type="dxa"/>
            <w:vAlign w:val="center"/>
          </w:tcPr>
          <w:p>
            <w:pPr>
              <w:widowControl/>
              <w:spacing w:line="440" w:lineRule="exact"/>
              <w:ind w:firstLine="480" w:firstLineChars="200"/>
              <w:rPr>
                <w:rFonts w:ascii="Times New Roman" w:hAnsi="Times New Roman"/>
                <w:color w:val="000000"/>
                <w:kern w:val="0"/>
                <w:sz w:val="24"/>
              </w:rPr>
            </w:pPr>
            <w:r>
              <w:rPr>
                <w:rFonts w:ascii="Times New Roman" w:hAnsi="Times New Roman"/>
                <w:color w:val="000000"/>
                <w:kern w:val="0"/>
                <w:sz w:val="24"/>
              </w:rPr>
              <w:t>东莞天安数码城是中国领先的创新企业生态圈的开发及创新企业解决方案提供商——天安数码城集团在华南地区开发运营的第五个园区，位于G4广深高速旁、广深科技创新走廊省级创新节点石鼓——白马片区。</w:t>
            </w:r>
          </w:p>
          <w:p>
            <w:pPr>
              <w:widowControl/>
              <w:spacing w:line="440" w:lineRule="exact"/>
              <w:ind w:firstLine="480" w:firstLineChars="200"/>
              <w:rPr>
                <w:rFonts w:ascii="Times New Roman" w:hAnsi="Times New Roman"/>
                <w:color w:val="000000"/>
                <w:kern w:val="0"/>
                <w:sz w:val="24"/>
              </w:rPr>
            </w:pPr>
            <w:r>
              <w:rPr>
                <w:rFonts w:ascii="Times New Roman" w:hAnsi="Times New Roman"/>
                <w:color w:val="000000"/>
                <w:kern w:val="0"/>
                <w:sz w:val="24"/>
              </w:rPr>
              <w:t>园区首创“创新型产业用房”向创新型企业提供融合企业总部、研发、中试、检测、轻型生产、科研办公、产品展示、物资存储等多功能的产业“第九空间”，致力于打造东莞城市中心区集金融科技产业用房、总部楼、公共服务平台以及优质商务配套于一体的首个“企业公园”，向创新型企业提供为企业中的人提供商务、休闲等配套设施，是基于中小企业成长特征而在建筑空间的成功创新。</w:t>
            </w:r>
          </w:p>
          <w:p>
            <w:pPr>
              <w:widowControl/>
              <w:spacing w:line="440" w:lineRule="exact"/>
              <w:ind w:firstLine="480" w:firstLineChars="200"/>
              <w:rPr>
                <w:rFonts w:ascii="Times New Roman" w:hAnsi="Times New Roman"/>
                <w:b/>
                <w:bCs/>
                <w:color w:val="000000"/>
                <w:kern w:val="0"/>
                <w:sz w:val="24"/>
              </w:rPr>
            </w:pPr>
            <w:r>
              <w:rPr>
                <w:rFonts w:ascii="Times New Roman" w:hAnsi="Times New Roman"/>
                <w:color w:val="000000"/>
                <w:kern w:val="0"/>
                <w:sz w:val="24"/>
              </w:rPr>
              <w:t>目前园区已搭建起国家超算广州中心东莞分中心、南城科技服务中心、东莞市博士创业促进会人才基地、知识产权维权工作站、1发布线上对接平台等公共服务平台，与东莞母基金共同设立了1亿元的产业引导基金“东莞新智造创业投资基金”，为企业提供涵盖工商税务、科技政策、科技金融、知识产权、人才引进、产学研对接、市场拓展、成果转化等80项具体服务，满足企业从进驻园区到不断发展壮大的全方位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62" w:type="dxa"/>
            <w:vMerge w:val="restart"/>
            <w:noWrap/>
            <w:vAlign w:val="center"/>
          </w:tcPr>
          <w:p>
            <w:pPr>
              <w:widowControl/>
              <w:spacing w:line="440" w:lineRule="exact"/>
              <w:jc w:val="center"/>
              <w:rPr>
                <w:rFonts w:ascii="Times New Roman" w:hAnsi="Times New Roman"/>
                <w:color w:val="000000"/>
                <w:kern w:val="0"/>
                <w:sz w:val="24"/>
              </w:rPr>
            </w:pPr>
            <w:r>
              <w:rPr>
                <w:rFonts w:ascii="Times New Roman" w:hAnsi="Times New Roman"/>
                <w:b/>
                <w:bCs/>
                <w:color w:val="000000"/>
                <w:kern w:val="0"/>
                <w:sz w:val="24"/>
              </w:rPr>
              <w:t>扶持措施</w:t>
            </w:r>
          </w:p>
        </w:tc>
        <w:tc>
          <w:tcPr>
            <w:tcW w:w="8304" w:type="dxa"/>
            <w:noWrap/>
            <w:vAlign w:val="center"/>
          </w:tcPr>
          <w:p>
            <w:pPr>
              <w:widowControl/>
              <w:spacing w:line="440" w:lineRule="exact"/>
              <w:jc w:val="left"/>
              <w:rPr>
                <w:rFonts w:ascii="Times New Roman" w:hAnsi="Times New Roman"/>
                <w:b/>
                <w:bCs/>
                <w:color w:val="000000"/>
                <w:kern w:val="0"/>
                <w:sz w:val="24"/>
              </w:rPr>
            </w:pPr>
            <w:r>
              <w:rPr>
                <w:rFonts w:ascii="Times New Roman" w:hAnsi="Times New Roman"/>
                <w:b/>
                <w:bCs/>
                <w:color w:val="000000"/>
                <w:kern w:val="0"/>
                <w:sz w:val="24"/>
              </w:rPr>
              <w:t>租金优惠：</w:t>
            </w:r>
            <w:r>
              <w:rPr>
                <w:rFonts w:ascii="Times New Roman" w:hAnsi="Times New Roman"/>
                <w:color w:val="000000"/>
                <w:kern w:val="0"/>
                <w:sz w:val="24"/>
              </w:rPr>
              <w:t>1．对优质人才或项目，众创空间提供1个月以上的免租期；2</w:t>
            </w:r>
            <w:r>
              <w:rPr>
                <w:rFonts w:ascii="Times New Roman" w:hAnsi="Times New Roman"/>
                <w:color w:val="000000"/>
                <w:kern w:val="0"/>
                <w:sz w:val="24"/>
                <w:lang w:val="en"/>
              </w:rPr>
              <w:t>．</w:t>
            </w:r>
            <w:r>
              <w:rPr>
                <w:rFonts w:ascii="Times New Roman" w:hAnsi="Times New Roman"/>
                <w:color w:val="000000"/>
                <w:kern w:val="0"/>
                <w:sz w:val="24"/>
              </w:rPr>
              <w:t>对优质的企业入驻，可享受一定期间的免租期；3</w:t>
            </w:r>
            <w:r>
              <w:rPr>
                <w:rFonts w:ascii="Times New Roman" w:hAnsi="Times New Roman"/>
                <w:color w:val="000000"/>
                <w:kern w:val="0"/>
                <w:sz w:val="24"/>
                <w:lang w:val="en"/>
              </w:rPr>
              <w:t>．</w:t>
            </w:r>
            <w:r>
              <w:rPr>
                <w:rFonts w:ascii="Times New Roman" w:hAnsi="Times New Roman"/>
                <w:color w:val="000000"/>
                <w:kern w:val="0"/>
                <w:sz w:val="24"/>
              </w:rPr>
              <w:t>对符合市工信局要求的软件企业，可享受15元的租金补贴优惠；4</w:t>
            </w:r>
            <w:r>
              <w:rPr>
                <w:rFonts w:ascii="Times New Roman" w:hAnsi="Times New Roman"/>
                <w:color w:val="000000"/>
                <w:kern w:val="0"/>
                <w:sz w:val="24"/>
                <w:lang w:val="en"/>
              </w:rPr>
              <w:t>．</w:t>
            </w:r>
            <w:r>
              <w:rPr>
                <w:rFonts w:ascii="Times New Roman" w:hAnsi="Times New Roman"/>
                <w:color w:val="000000"/>
                <w:kern w:val="0"/>
                <w:sz w:val="24"/>
              </w:rPr>
              <w:t>对市投促局认定的高成长企业，最高可享受50%的租金补贴优惠。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62" w:type="dxa"/>
            <w:vMerge w:val="continue"/>
            <w:noWrap/>
            <w:vAlign w:val="center"/>
          </w:tcPr>
          <w:p>
            <w:pPr>
              <w:widowControl/>
              <w:spacing w:line="440" w:lineRule="exact"/>
              <w:jc w:val="center"/>
              <w:rPr>
                <w:rFonts w:ascii="Times New Roman" w:hAnsi="Times New Roman"/>
                <w:color w:val="000000"/>
                <w:kern w:val="0"/>
                <w:sz w:val="24"/>
              </w:rPr>
            </w:pPr>
          </w:p>
        </w:tc>
        <w:tc>
          <w:tcPr>
            <w:tcW w:w="8304"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资源对接：</w:t>
            </w:r>
            <w:r>
              <w:rPr>
                <w:rFonts w:ascii="Times New Roman" w:hAnsi="Times New Roman"/>
                <w:color w:val="000000"/>
                <w:kern w:val="0"/>
                <w:sz w:val="24"/>
              </w:rPr>
              <w:t>1</w:t>
            </w:r>
            <w:r>
              <w:rPr>
                <w:rFonts w:ascii="Times New Roman" w:hAnsi="Times New Roman"/>
                <w:color w:val="000000"/>
                <w:kern w:val="0"/>
                <w:sz w:val="24"/>
                <w:lang w:val="en"/>
              </w:rPr>
              <w:t>．</w:t>
            </w:r>
            <w:r>
              <w:rPr>
                <w:rFonts w:ascii="Times New Roman" w:hAnsi="Times New Roman"/>
                <w:color w:val="000000"/>
                <w:kern w:val="0"/>
                <w:sz w:val="24"/>
              </w:rPr>
              <w:t>每月定期开展CEO早餐会及产业链下午茶，邀请小部分产业链相关的行业领导进行小范围沟通对接，加强园区产业上下游资源对接；2</w:t>
            </w:r>
            <w:r>
              <w:rPr>
                <w:rFonts w:ascii="Times New Roman" w:hAnsi="Times New Roman"/>
                <w:color w:val="000000"/>
                <w:kern w:val="0"/>
                <w:sz w:val="24"/>
                <w:lang w:val="en"/>
              </w:rPr>
              <w:t>．</w:t>
            </w:r>
            <w:r>
              <w:rPr>
                <w:rFonts w:ascii="Times New Roman" w:hAnsi="Times New Roman"/>
                <w:color w:val="000000"/>
                <w:kern w:val="0"/>
                <w:sz w:val="24"/>
              </w:rPr>
              <w:t>园区内共有20家商协会，能满足企业资源对接需求；3</w:t>
            </w:r>
            <w:r>
              <w:rPr>
                <w:rFonts w:ascii="Times New Roman" w:hAnsi="Times New Roman"/>
                <w:color w:val="000000"/>
                <w:kern w:val="0"/>
                <w:sz w:val="24"/>
                <w:lang w:val="en"/>
              </w:rPr>
              <w:t>．</w:t>
            </w:r>
            <w:r>
              <w:rPr>
                <w:rFonts w:ascii="Times New Roman" w:hAnsi="Times New Roman"/>
                <w:color w:val="000000"/>
                <w:kern w:val="0"/>
                <w:sz w:val="24"/>
              </w:rPr>
              <w:t>园区成功落户市博促会、超算中心等服务平台，并聚集一批从事检验检测、认证、科技服务等现代服务业企业，能满足企业不同程度的研发、生产、服务等需求。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62" w:type="dxa"/>
            <w:vMerge w:val="continue"/>
            <w:noWrap/>
            <w:vAlign w:val="center"/>
          </w:tcPr>
          <w:p>
            <w:pPr>
              <w:widowControl/>
              <w:spacing w:line="440" w:lineRule="exact"/>
              <w:jc w:val="center"/>
              <w:rPr>
                <w:rFonts w:ascii="Times New Roman" w:hAnsi="Times New Roman"/>
                <w:color w:val="000000"/>
                <w:kern w:val="0"/>
                <w:sz w:val="24"/>
              </w:rPr>
            </w:pPr>
          </w:p>
        </w:tc>
        <w:tc>
          <w:tcPr>
            <w:tcW w:w="8304"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股权投资：</w:t>
            </w:r>
            <w:r>
              <w:rPr>
                <w:rFonts w:ascii="Times New Roman" w:hAnsi="Times New Roman"/>
                <w:color w:val="000000"/>
                <w:kern w:val="0"/>
                <w:sz w:val="24"/>
              </w:rPr>
              <w:t>1</w:t>
            </w:r>
            <w:r>
              <w:rPr>
                <w:rFonts w:ascii="Times New Roman" w:hAnsi="Times New Roman"/>
                <w:color w:val="000000"/>
                <w:kern w:val="0"/>
                <w:sz w:val="24"/>
                <w:lang w:val="en"/>
              </w:rPr>
              <w:t>．</w:t>
            </w:r>
            <w:r>
              <w:rPr>
                <w:rFonts w:ascii="Times New Roman" w:hAnsi="Times New Roman"/>
                <w:color w:val="000000"/>
                <w:kern w:val="0"/>
                <w:sz w:val="24"/>
              </w:rPr>
              <w:t>园区分别与东莞市、南城街道成立了基金，重点对科技含量高、有发展前景的企业进行投资；2</w:t>
            </w:r>
            <w:r>
              <w:rPr>
                <w:rFonts w:ascii="Times New Roman" w:hAnsi="Times New Roman"/>
                <w:color w:val="000000"/>
                <w:kern w:val="0"/>
                <w:sz w:val="24"/>
                <w:lang w:val="en"/>
              </w:rPr>
              <w:t>．</w:t>
            </w:r>
            <w:r>
              <w:rPr>
                <w:rFonts w:ascii="Times New Roman" w:hAnsi="Times New Roman"/>
                <w:color w:val="000000"/>
                <w:kern w:val="0"/>
                <w:sz w:val="24"/>
              </w:rPr>
              <w:t>举办湾区路演活动，中金等头部投资机构诊断会，产融对接会，金融管家一对一服务。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62" w:type="dxa"/>
            <w:vMerge w:val="continue"/>
            <w:noWrap/>
            <w:vAlign w:val="center"/>
          </w:tcPr>
          <w:p>
            <w:pPr>
              <w:widowControl/>
              <w:spacing w:line="440" w:lineRule="exact"/>
              <w:jc w:val="center"/>
              <w:rPr>
                <w:rFonts w:ascii="Times New Roman" w:hAnsi="Times New Roman"/>
                <w:color w:val="000000"/>
                <w:kern w:val="0"/>
                <w:sz w:val="24"/>
              </w:rPr>
            </w:pPr>
          </w:p>
        </w:tc>
        <w:tc>
          <w:tcPr>
            <w:tcW w:w="8304" w:type="dxa"/>
            <w:noWrap/>
            <w:vAlign w:val="center"/>
          </w:tcPr>
          <w:p>
            <w:pPr>
              <w:widowControl/>
              <w:spacing w:line="440" w:lineRule="exact"/>
              <w:jc w:val="left"/>
              <w:rPr>
                <w:rFonts w:ascii="Times New Roman" w:hAnsi="Times New Roman"/>
                <w:color w:val="000000"/>
                <w:kern w:val="0"/>
                <w:sz w:val="24"/>
                <w:lang w:val="en"/>
              </w:rPr>
            </w:pPr>
            <w:r>
              <w:rPr>
                <w:rFonts w:ascii="Times New Roman" w:hAnsi="Times New Roman"/>
                <w:b/>
                <w:bCs/>
                <w:color w:val="000000"/>
                <w:kern w:val="0"/>
                <w:sz w:val="24"/>
                <w:lang w:val="en"/>
              </w:rPr>
              <w:t>其他：</w:t>
            </w:r>
            <w:r>
              <w:rPr>
                <w:rFonts w:ascii="Times New Roman" w:hAnsi="Times New Roman"/>
                <w:color w:val="000000"/>
                <w:kern w:val="0"/>
                <w:sz w:val="24"/>
                <w:lang w:val="en"/>
              </w:rPr>
              <w:t>提供优享服务包，其中包括工商税务、知识产权、人才对接、市场对接等70条具体对接服务。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vAlign w:val="center"/>
          </w:tcPr>
          <w:p>
            <w:pPr>
              <w:widowControl/>
              <w:spacing w:line="440" w:lineRule="exact"/>
              <w:jc w:val="center"/>
              <w:rPr>
                <w:rFonts w:ascii="Times New Roman" w:hAnsi="Times New Roman"/>
                <w:b/>
                <w:bCs/>
                <w:color w:val="000000"/>
                <w:kern w:val="0"/>
                <w:sz w:val="28"/>
                <w:szCs w:val="28"/>
              </w:rPr>
            </w:pPr>
            <w:r>
              <w:rPr>
                <w:rFonts w:ascii="Times New Roman" w:hAnsi="Times New Roman"/>
                <w:b/>
                <w:bCs/>
                <w:color w:val="000000"/>
                <w:kern w:val="0"/>
                <w:sz w:val="28"/>
                <w:szCs w:val="28"/>
              </w:rPr>
              <w:t>中天联科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2"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304" w:type="dxa"/>
            <w:vAlign w:val="center"/>
          </w:tcPr>
          <w:p>
            <w:pPr>
              <w:widowControl/>
              <w:spacing w:line="440" w:lineRule="exact"/>
              <w:ind w:firstLine="480" w:firstLineChars="200"/>
              <w:rPr>
                <w:rFonts w:ascii="Times New Roman" w:hAnsi="Times New Roman"/>
                <w:color w:val="000000"/>
                <w:kern w:val="0"/>
                <w:sz w:val="24"/>
              </w:rPr>
            </w:pPr>
            <w:r>
              <w:rPr>
                <w:rFonts w:ascii="Times New Roman" w:hAnsi="Times New Roman"/>
                <w:color w:val="000000"/>
                <w:kern w:val="0"/>
                <w:sz w:val="24"/>
              </w:rPr>
              <w:t>联科国际信息产业园，由中国产业地产12强产业中天与北京中关村东升科技园于2012年战略合作共建，位于东莞南城CBD科创路，分一二期开发，总占地300亩，总建面约30万m</w:t>
            </w:r>
            <w:r>
              <w:rPr>
                <w:rFonts w:ascii="Times New Roman" w:hAnsi="Times New Roman"/>
                <w:color w:val="000000"/>
                <w:kern w:val="0"/>
                <w:sz w:val="24"/>
                <w:vertAlign w:val="superscript"/>
              </w:rPr>
              <w:t>2</w:t>
            </w:r>
            <w:r>
              <w:rPr>
                <w:rFonts w:ascii="Times New Roman" w:hAnsi="Times New Roman"/>
                <w:color w:val="000000"/>
                <w:kern w:val="0"/>
                <w:sz w:val="24"/>
              </w:rPr>
              <w:t>，整体容积率1.06。作为首批</w:t>
            </w:r>
            <w:r>
              <w:rPr>
                <w:rFonts w:hint="eastAsia" w:ascii="Times New Roman" w:hAnsi="Times New Roman"/>
                <w:color w:val="000000"/>
                <w:kern w:val="0"/>
                <w:sz w:val="24"/>
              </w:rPr>
              <w:t>“</w:t>
            </w:r>
            <w:r>
              <w:rPr>
                <w:rFonts w:ascii="Times New Roman" w:hAnsi="Times New Roman"/>
                <w:color w:val="000000"/>
                <w:kern w:val="0"/>
                <w:sz w:val="24"/>
              </w:rPr>
              <w:t>南城软件和信息技术服务业试点园区</w:t>
            </w:r>
            <w:r>
              <w:rPr>
                <w:rFonts w:hint="eastAsia" w:ascii="Times New Roman" w:hAnsi="Times New Roman"/>
                <w:color w:val="000000"/>
                <w:kern w:val="0"/>
                <w:sz w:val="24"/>
              </w:rPr>
              <w:t>”</w:t>
            </w:r>
            <w:r>
              <w:rPr>
                <w:rFonts w:ascii="Times New Roman" w:hAnsi="Times New Roman"/>
                <w:color w:val="000000"/>
                <w:kern w:val="0"/>
                <w:sz w:val="24"/>
              </w:rPr>
              <w:t>，园区以软件与信息服务业、新材料、工业设计为主导产业，目前已聚集280多家优质总部企业，园区目前在园人数约2000+，未来聚集科技人才5000+。立足湾区东莞产业基础，聚焦“科技创新+先进制造”，园区以创业孵化、科技研发和总部经济为核心功能，为科技创新型、总部型企业提供集研发、办公、商务、休闲于一体的企业发展全生命周期空间载体。</w:t>
            </w:r>
          </w:p>
          <w:p>
            <w:pPr>
              <w:widowControl/>
              <w:spacing w:line="440" w:lineRule="exact"/>
              <w:ind w:firstLine="480" w:firstLineChars="200"/>
              <w:rPr>
                <w:rFonts w:ascii="Times New Roman" w:hAnsi="Times New Roman"/>
                <w:b/>
                <w:bCs/>
                <w:color w:val="000000"/>
                <w:kern w:val="0"/>
                <w:sz w:val="24"/>
              </w:rPr>
            </w:pPr>
            <w:r>
              <w:rPr>
                <w:rFonts w:ascii="Times New Roman" w:hAnsi="Times New Roman"/>
                <w:color w:val="000000"/>
                <w:kern w:val="0"/>
                <w:sz w:val="24"/>
              </w:rPr>
              <w:t>秉承“企业成长服务商”的理念，依托产业中天全面整合产业资源要素，打造空间载体圈与服务赋能圈的双链闭环生态圈。其中，“灵创计划”赋能行动是产业中天推出的产业园创新发展新思路，提出“0租金成本”，旨在为创新型企业提供优质空间，为企业发展减负增效。同时，园区秉持产业中天 “企业成长服务商”的发展理念，提升产业运营及企业服务的核心竞争力，以“资金+资产+资源”的全新赋能模式与产业生态，整合更多优质资源，为企业成长赋能。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2" w:type="dxa"/>
            <w:vMerge w:val="restart"/>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扶持措施</w:t>
            </w:r>
          </w:p>
        </w:tc>
        <w:tc>
          <w:tcPr>
            <w:tcW w:w="8304" w:type="dxa"/>
            <w:vAlign w:val="center"/>
          </w:tcPr>
          <w:p>
            <w:pPr>
              <w:widowControl/>
              <w:spacing w:line="440" w:lineRule="exact"/>
              <w:rPr>
                <w:rFonts w:ascii="Times New Roman" w:hAnsi="Times New Roman"/>
                <w:color w:val="000000"/>
                <w:kern w:val="0"/>
                <w:sz w:val="24"/>
              </w:rPr>
            </w:pPr>
            <w:r>
              <w:rPr>
                <w:rFonts w:ascii="Times New Roman" w:hAnsi="Times New Roman"/>
                <w:b/>
                <w:bCs/>
                <w:color w:val="000000"/>
                <w:kern w:val="0"/>
                <w:sz w:val="24"/>
              </w:rPr>
              <w:t>租金优惠：</w:t>
            </w:r>
            <w:r>
              <w:rPr>
                <w:rFonts w:ascii="Times New Roman" w:hAnsi="Times New Roman"/>
                <w:color w:val="000000"/>
                <w:kern w:val="0"/>
                <w:sz w:val="24"/>
              </w:rPr>
              <w:t>“灵创计划”是产业中天推出的产业园创新发展的新思路，提出“0租金成本”，旨在为创新型企业提供优质空间，为企业发展减负增效，希望通过“灵创计划”促进产业资源的高效共享与整合，实现优质产业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2" w:type="dxa"/>
            <w:vMerge w:val="continue"/>
            <w:vAlign w:val="center"/>
          </w:tcPr>
          <w:p>
            <w:pPr>
              <w:widowControl/>
              <w:spacing w:line="440" w:lineRule="exact"/>
              <w:jc w:val="center"/>
              <w:rPr>
                <w:rFonts w:ascii="Times New Roman" w:hAnsi="Times New Roman"/>
                <w:b/>
                <w:bCs/>
                <w:color w:val="000000"/>
                <w:kern w:val="0"/>
                <w:sz w:val="24"/>
              </w:rPr>
            </w:pPr>
          </w:p>
        </w:tc>
        <w:tc>
          <w:tcPr>
            <w:tcW w:w="8304" w:type="dxa"/>
            <w:vAlign w:val="center"/>
          </w:tcPr>
          <w:p>
            <w:pPr>
              <w:widowControl/>
              <w:spacing w:line="440" w:lineRule="exact"/>
              <w:rPr>
                <w:rFonts w:ascii="Times New Roman" w:hAnsi="Times New Roman"/>
                <w:color w:val="000000"/>
                <w:kern w:val="0"/>
                <w:sz w:val="24"/>
                <w:lang w:val="en"/>
              </w:rPr>
            </w:pPr>
            <w:r>
              <w:rPr>
                <w:rFonts w:ascii="Times New Roman" w:hAnsi="Times New Roman"/>
                <w:b/>
                <w:bCs/>
                <w:color w:val="000000"/>
                <w:kern w:val="0"/>
                <w:sz w:val="24"/>
              </w:rPr>
              <w:t>资源对接：</w:t>
            </w:r>
            <w:r>
              <w:rPr>
                <w:rFonts w:hint="eastAsia" w:ascii="Times New Roman" w:hAnsi="Times New Roman"/>
                <w:color w:val="000000"/>
                <w:kern w:val="0"/>
                <w:sz w:val="24"/>
              </w:rPr>
              <w:t>1．</w:t>
            </w:r>
            <w:r>
              <w:rPr>
                <w:rFonts w:ascii="Times New Roman" w:hAnsi="Times New Roman"/>
                <w:color w:val="000000"/>
                <w:kern w:val="0"/>
                <w:sz w:val="24"/>
              </w:rPr>
              <w:t>技术服务支持</w:t>
            </w:r>
            <w:r>
              <w:rPr>
                <w:rFonts w:hint="eastAsia" w:ascii="Times New Roman" w:hAnsi="Times New Roman"/>
                <w:color w:val="000000"/>
                <w:kern w:val="0"/>
                <w:sz w:val="24"/>
              </w:rPr>
              <w:t>：</w:t>
            </w:r>
            <w:r>
              <w:rPr>
                <w:rFonts w:ascii="Times New Roman" w:hAnsi="Times New Roman"/>
                <w:color w:val="000000"/>
                <w:kern w:val="0"/>
                <w:sz w:val="24"/>
              </w:rPr>
              <w:t>园区通过东莞市清研公共科技服务中心、清研创新中心平台，依托清华工研院及清华大学的专家团队和各大高校科研资源，50多名专家学者，可为初创企业进行诊断辅导，对接先进产业资源，产学研结合，提供科技资源共享、科技成果转化、企业经营辅导等服务。2</w:t>
            </w:r>
            <w:r>
              <w:rPr>
                <w:rFonts w:ascii="Times New Roman" w:hAnsi="Times New Roman"/>
                <w:color w:val="000000"/>
                <w:kern w:val="0"/>
                <w:sz w:val="24"/>
                <w:lang w:val="en"/>
              </w:rPr>
              <w:t>．</w:t>
            </w:r>
            <w:r>
              <w:rPr>
                <w:rFonts w:ascii="Times New Roman" w:hAnsi="Times New Roman"/>
                <w:color w:val="000000"/>
                <w:kern w:val="0"/>
                <w:sz w:val="24"/>
              </w:rPr>
              <w:t>金融服务支持</w:t>
            </w:r>
            <w:r>
              <w:rPr>
                <w:rFonts w:ascii="Times New Roman" w:hAnsi="Times New Roman"/>
                <w:color w:val="000000"/>
                <w:kern w:val="0"/>
                <w:sz w:val="24"/>
                <w:lang w:val="en"/>
              </w:rPr>
              <w:t>：</w:t>
            </w:r>
            <w:r>
              <w:rPr>
                <w:rFonts w:ascii="Times New Roman" w:hAnsi="Times New Roman"/>
                <w:color w:val="000000"/>
                <w:kern w:val="0"/>
                <w:sz w:val="24"/>
              </w:rPr>
              <w:t>“产业金融服务中心”可以协助创业团队提高获得资本市场融资效率，为其提供债券融资、股权融资等服务，解决企业资金难题。3</w:t>
            </w:r>
            <w:r>
              <w:rPr>
                <w:rFonts w:ascii="Times New Roman" w:hAnsi="Times New Roman"/>
                <w:color w:val="000000"/>
                <w:kern w:val="0"/>
                <w:sz w:val="24"/>
                <w:lang w:val="en"/>
              </w:rPr>
              <w:t>．</w:t>
            </w:r>
            <w:r>
              <w:rPr>
                <w:rFonts w:ascii="Times New Roman" w:hAnsi="Times New Roman"/>
                <w:color w:val="000000"/>
                <w:kern w:val="0"/>
                <w:sz w:val="24"/>
              </w:rPr>
              <w:t>创业导师支持</w:t>
            </w:r>
            <w:r>
              <w:rPr>
                <w:rFonts w:ascii="Times New Roman" w:hAnsi="Times New Roman"/>
                <w:color w:val="000000"/>
                <w:kern w:val="0"/>
                <w:sz w:val="24"/>
                <w:lang w:val="en"/>
              </w:rPr>
              <w:t>：园区自身拥有创业导师团队：产业中天副总裁冯勇、房美玲等。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2" w:type="dxa"/>
            <w:vMerge w:val="continue"/>
            <w:vAlign w:val="center"/>
          </w:tcPr>
          <w:p>
            <w:pPr>
              <w:widowControl/>
              <w:spacing w:line="440" w:lineRule="exact"/>
              <w:jc w:val="center"/>
              <w:rPr>
                <w:rFonts w:ascii="Times New Roman" w:hAnsi="Times New Roman"/>
                <w:b/>
                <w:bCs/>
                <w:color w:val="000000"/>
                <w:kern w:val="0"/>
                <w:sz w:val="24"/>
              </w:rPr>
            </w:pPr>
          </w:p>
        </w:tc>
        <w:tc>
          <w:tcPr>
            <w:tcW w:w="8304" w:type="dxa"/>
            <w:vAlign w:val="center"/>
          </w:tcPr>
          <w:p>
            <w:pPr>
              <w:widowControl/>
              <w:spacing w:line="440" w:lineRule="exact"/>
              <w:rPr>
                <w:rFonts w:ascii="Times New Roman" w:hAnsi="Times New Roman"/>
                <w:color w:val="000000"/>
                <w:kern w:val="0"/>
                <w:sz w:val="24"/>
              </w:rPr>
            </w:pPr>
            <w:r>
              <w:rPr>
                <w:rFonts w:ascii="Times New Roman" w:hAnsi="Times New Roman"/>
                <w:b/>
                <w:bCs/>
                <w:color w:val="000000"/>
                <w:kern w:val="0"/>
                <w:sz w:val="24"/>
              </w:rPr>
              <w:t>股权投资：</w:t>
            </w:r>
            <w:r>
              <w:rPr>
                <w:rFonts w:ascii="Times New Roman" w:hAnsi="Times New Roman"/>
                <w:color w:val="000000"/>
                <w:kern w:val="0"/>
                <w:sz w:val="24"/>
              </w:rPr>
              <w:t>以“投资-孵化-引入”的产业投资孵化路径，通过粤港科创1号基金、松创成长基金等自有或合作基金，挖掘投资孵化大湾区优质潜力的创业团队，并引导其落地园区，提供从孵化-加速-成长-IPO的全生命周期综合金融服务支持。</w:t>
            </w:r>
          </w:p>
        </w:tc>
      </w:tr>
    </w:tbl>
    <w:p/>
    <w:tbl>
      <w:tblPr>
        <w:tblStyle w:val="4"/>
        <w:tblpPr w:leftFromText="180" w:rightFromText="180" w:vertAnchor="text" w:horzAnchor="page" w:tblpX="1425" w:tblpY="1"/>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0" w:type="dxa"/>
            <w:gridSpan w:val="2"/>
            <w:vAlign w:val="center"/>
          </w:tcPr>
          <w:p>
            <w:pPr>
              <w:widowControl/>
              <w:spacing w:line="440" w:lineRule="exact"/>
              <w:jc w:val="center"/>
              <w:rPr>
                <w:rFonts w:ascii="Times New Roman" w:hAnsi="Times New Roman"/>
                <w:b/>
                <w:bCs/>
                <w:color w:val="000000"/>
                <w:kern w:val="0"/>
                <w:sz w:val="28"/>
                <w:szCs w:val="28"/>
              </w:rPr>
            </w:pPr>
            <w:r>
              <w:rPr>
                <w:rFonts w:ascii="Times New Roman" w:hAnsi="Times New Roman"/>
                <w:b/>
                <w:bCs/>
                <w:color w:val="000000"/>
                <w:kern w:val="0"/>
                <w:sz w:val="28"/>
                <w:szCs w:val="28"/>
              </w:rPr>
              <w:t>天安数码城T5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36" w:type="dxa"/>
            <w:vAlign w:val="center"/>
          </w:tcPr>
          <w:p>
            <w:pPr>
              <w:widowControl/>
              <w:spacing w:line="440" w:lineRule="exact"/>
              <w:ind w:firstLine="480" w:firstLineChars="200"/>
              <w:rPr>
                <w:rFonts w:ascii="Times New Roman" w:hAnsi="Times New Roman"/>
                <w:color w:val="000000"/>
                <w:kern w:val="0"/>
                <w:sz w:val="24"/>
              </w:rPr>
            </w:pPr>
            <w:r>
              <w:rPr>
                <w:rFonts w:ascii="Times New Roman" w:hAnsi="Times New Roman"/>
                <w:color w:val="000000"/>
                <w:kern w:val="0"/>
                <w:sz w:val="24"/>
              </w:rPr>
              <w:t>凤岗天安数码城（以下简称：园区），是广东省、东莞市重大建设项目，园区位于凤岗镇雁田村东深二路与怡安东路交汇处，地处深圳腹地、东莞前沿，既享受优越的东莞政策、配套、成本，又具备深圳产业理念、市场、人才、科研等优势。2016年“凤岗天安数码城”获认定为东莞市产业转型升级基地。园区总占地面积约40万㎡，总建筑面积逾150万㎡，总投资100亿元，分两期开发建设，规划有甲级产业大厦、独栋总部楼、T5国际会议中心、科技孵化器、高端学校、医院、大型商业中心等产品形态，以产业、生态、科技、商务的极致融合，打造推动城市产业转型升级的企业创新生态圈，助力产业加快转型升级。目前，园区有国家高新技术企业26家、规模以上企业22家，入驻园区办公企业逾600家。2021年园区实现近百亿产值，税收近三亿。</w:t>
            </w:r>
          </w:p>
          <w:p>
            <w:pPr>
              <w:widowControl/>
              <w:spacing w:line="440" w:lineRule="exact"/>
              <w:ind w:firstLine="480" w:firstLineChars="200"/>
              <w:rPr>
                <w:rFonts w:ascii="Times New Roman" w:hAnsi="Times New Roman"/>
                <w:color w:val="000000"/>
                <w:kern w:val="0"/>
                <w:sz w:val="24"/>
              </w:rPr>
            </w:pPr>
            <w:r>
              <w:rPr>
                <w:rFonts w:ascii="Times New Roman" w:hAnsi="Times New Roman"/>
                <w:color w:val="000000"/>
                <w:kern w:val="0"/>
                <w:sz w:val="24"/>
              </w:rPr>
              <w:t>在入驻企业扶持政策方面，园区一直在加大科技类企业的招引力度，针对高新技术企业，项目制定了一系列吸引企业入驻的政策，一是针对优质科技类企业，进行租金减免，企业资质认定奖励，二是投入3000万元，对落户园区的优质科技类企业给予税收补贴；三是投入2000万元，每年组织企业家游学、培训、企业创新生态圈及各类圈层、资源对接活动，以真正的产业运营吸引优质的科技企业进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widowControl/>
              <w:spacing w:line="440" w:lineRule="exact"/>
              <w:jc w:val="center"/>
              <w:rPr>
                <w:rFonts w:ascii="Times New Roman" w:hAnsi="Times New Roman"/>
                <w:color w:val="000000"/>
                <w:kern w:val="0"/>
                <w:sz w:val="24"/>
              </w:rPr>
            </w:pPr>
            <w:r>
              <w:rPr>
                <w:rFonts w:ascii="Times New Roman" w:hAnsi="Times New Roman"/>
                <w:b/>
                <w:bCs/>
                <w:color w:val="000000"/>
                <w:kern w:val="0"/>
                <w:sz w:val="24"/>
              </w:rPr>
              <w:t>扶持措施</w:t>
            </w:r>
          </w:p>
        </w:tc>
        <w:tc>
          <w:tcPr>
            <w:tcW w:w="8236" w:type="dxa"/>
            <w:noWrap/>
            <w:vAlign w:val="center"/>
          </w:tcPr>
          <w:p>
            <w:pPr>
              <w:widowControl/>
              <w:spacing w:line="440" w:lineRule="exact"/>
              <w:jc w:val="left"/>
              <w:rPr>
                <w:rFonts w:ascii="Times New Roman" w:hAnsi="Times New Roman"/>
                <w:b/>
                <w:bCs/>
                <w:kern w:val="0"/>
                <w:sz w:val="24"/>
              </w:rPr>
            </w:pPr>
            <w:r>
              <w:rPr>
                <w:rFonts w:ascii="Times New Roman" w:hAnsi="Times New Roman"/>
                <w:b/>
                <w:bCs/>
                <w:kern w:val="0"/>
                <w:sz w:val="24"/>
              </w:rPr>
              <w:t>租金优惠：</w:t>
            </w:r>
            <w:r>
              <w:rPr>
                <w:rFonts w:ascii="Times New Roman" w:hAnsi="Times New Roman"/>
                <w:kern w:val="0"/>
                <w:sz w:val="24"/>
              </w:rPr>
              <w:t>针对软件信息企业以低于市场价50%的优惠价格向其租赁产业用房。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36" w:type="dxa"/>
            <w:noWrap/>
            <w:vAlign w:val="center"/>
          </w:tcPr>
          <w:p>
            <w:pPr>
              <w:widowControl/>
              <w:spacing w:line="440" w:lineRule="exact"/>
              <w:jc w:val="left"/>
              <w:rPr>
                <w:rFonts w:ascii="Times New Roman" w:hAnsi="Times New Roman"/>
                <w:kern w:val="0"/>
                <w:sz w:val="24"/>
              </w:rPr>
            </w:pPr>
            <w:r>
              <w:rPr>
                <w:rFonts w:ascii="Times New Roman" w:hAnsi="Times New Roman"/>
                <w:b/>
                <w:bCs/>
                <w:kern w:val="0"/>
                <w:sz w:val="24"/>
              </w:rPr>
              <w:t>资源对接：</w:t>
            </w:r>
            <w:r>
              <w:rPr>
                <w:rFonts w:ascii="Times New Roman" w:hAnsi="Times New Roman"/>
                <w:kern w:val="0"/>
                <w:sz w:val="24"/>
              </w:rPr>
              <w:t>园区提供信息交互、金融服务、商务服务、人力资源、营销服务、政务服务、园区配套以及物业服务等资源，协助企业生产运营。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36" w:type="dxa"/>
            <w:noWrap/>
            <w:vAlign w:val="center"/>
          </w:tcPr>
          <w:p>
            <w:pPr>
              <w:widowControl/>
              <w:spacing w:line="440" w:lineRule="exact"/>
              <w:jc w:val="left"/>
              <w:rPr>
                <w:rFonts w:ascii="Times New Roman" w:hAnsi="Times New Roman"/>
                <w:kern w:val="0"/>
                <w:sz w:val="24"/>
              </w:rPr>
            </w:pPr>
            <w:r>
              <w:rPr>
                <w:rFonts w:ascii="Times New Roman" w:hAnsi="Times New Roman"/>
                <w:b/>
                <w:bCs/>
                <w:kern w:val="0"/>
                <w:sz w:val="24"/>
              </w:rPr>
              <w:t>股权投资：</w:t>
            </w:r>
            <w:r>
              <w:rPr>
                <w:rFonts w:ascii="Times New Roman" w:hAnsi="Times New Roman"/>
                <w:kern w:val="0"/>
                <w:sz w:val="24"/>
              </w:rPr>
              <w:t>针对优质的初创企业，园区投资有两种方式，一是资金入股的形式，二是可以物权换股权的形式，对企业进行投资服务。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36" w:type="dxa"/>
            <w:noWrap/>
            <w:vAlign w:val="center"/>
          </w:tcPr>
          <w:p>
            <w:pPr>
              <w:widowControl/>
              <w:spacing w:line="440" w:lineRule="exact"/>
              <w:jc w:val="left"/>
              <w:rPr>
                <w:rFonts w:ascii="Times New Roman" w:hAnsi="Times New Roman"/>
                <w:b/>
                <w:bCs/>
                <w:kern w:val="0"/>
                <w:sz w:val="24"/>
              </w:rPr>
            </w:pPr>
            <w:r>
              <w:rPr>
                <w:rFonts w:ascii="Times New Roman" w:hAnsi="Times New Roman"/>
                <w:b/>
                <w:bCs/>
                <w:kern w:val="0"/>
                <w:sz w:val="24"/>
              </w:rPr>
              <w:t>扶持奖励：</w:t>
            </w:r>
            <w:r>
              <w:rPr>
                <w:rFonts w:ascii="Times New Roman" w:hAnsi="Times New Roman"/>
                <w:kern w:val="0"/>
                <w:sz w:val="24"/>
              </w:rPr>
              <w:t>园区企业申报认定为国家高新技术企业或（省、市）专精特新企业，可获取1-15万元不同阶段的奖励。</w:t>
            </w:r>
          </w:p>
        </w:tc>
      </w:tr>
    </w:tbl>
    <w:p>
      <w:pPr>
        <w:rPr>
          <w:rFonts w:ascii="Times New Roman" w:hAnsi="Times New Roman"/>
        </w:rPr>
      </w:pPr>
    </w:p>
    <w:p>
      <w:pPr>
        <w:rPr>
          <w:rFonts w:ascii="Times New Roman" w:hAnsi="Times New Roman"/>
        </w:rPr>
      </w:pPr>
    </w:p>
    <w:p>
      <w:pPr>
        <w:rPr>
          <w:rFonts w:ascii="Times New Roman" w:hAnsi="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vAlign w:val="center"/>
          </w:tcPr>
          <w:p>
            <w:pPr>
              <w:widowControl/>
              <w:spacing w:line="440" w:lineRule="exact"/>
              <w:jc w:val="center"/>
              <w:rPr>
                <w:rFonts w:ascii="Times New Roman" w:hAnsi="Times New Roman"/>
                <w:b/>
                <w:bCs/>
                <w:color w:val="000000"/>
                <w:kern w:val="0"/>
                <w:sz w:val="28"/>
                <w:szCs w:val="28"/>
              </w:rPr>
            </w:pPr>
            <w:r>
              <w:rPr>
                <w:rFonts w:ascii="Times New Roman" w:hAnsi="Times New Roman"/>
                <w:b/>
                <w:bCs/>
                <w:color w:val="000000"/>
                <w:kern w:val="0"/>
                <w:sz w:val="28"/>
                <w:szCs w:val="28"/>
              </w:rPr>
              <w:t>京东智谷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22" w:type="dxa"/>
            <w:vAlign w:val="center"/>
          </w:tcPr>
          <w:p>
            <w:pPr>
              <w:widowControl/>
              <w:spacing w:line="440" w:lineRule="exact"/>
              <w:ind w:firstLine="480" w:firstLineChars="200"/>
              <w:rPr>
                <w:rFonts w:ascii="Times New Roman" w:hAnsi="Times New Roman"/>
                <w:color w:val="000000"/>
                <w:kern w:val="0"/>
                <w:sz w:val="24"/>
              </w:rPr>
            </w:pPr>
            <w:r>
              <w:rPr>
                <w:rFonts w:ascii="Times New Roman" w:hAnsi="Times New Roman"/>
                <w:color w:val="000000"/>
                <w:kern w:val="0"/>
                <w:sz w:val="24"/>
              </w:rPr>
              <w:t>京东智谷位于东莞市凤岗镇雁田村，是广东省及东莞市重大产业项目，总投资约200亿人民币，总建筑面积约180万平方米，打造“京东赋能的中国样本·湾区产业的创新源点”。全部建成后，预计可实现1000家京东上下游产业链企业和1500家配套企业的聚集，年综合产值约280亿，税收近25亿元。</w:t>
            </w:r>
          </w:p>
          <w:p>
            <w:pPr>
              <w:widowControl/>
              <w:spacing w:line="440" w:lineRule="exact"/>
              <w:ind w:firstLine="480" w:firstLineChars="200"/>
              <w:rPr>
                <w:rFonts w:ascii="Times New Roman" w:hAnsi="Times New Roman"/>
                <w:color w:val="000000"/>
                <w:kern w:val="0"/>
                <w:sz w:val="24"/>
              </w:rPr>
            </w:pPr>
            <w:r>
              <w:rPr>
                <w:rFonts w:ascii="Times New Roman" w:hAnsi="Times New Roman"/>
                <w:color w:val="000000"/>
                <w:kern w:val="0"/>
                <w:sz w:val="24"/>
              </w:rPr>
              <w:t>京东智谷项目占地38万平方米，建筑面积约180万㎡，共分3期开发，约8年左右全部建成。目前一期项目占地8.33万㎡，建筑面积约39万㎡，我们开发的产品主要有：产业大厦、工业4.0厂房、loft产业宿舍配套等产品。</w:t>
            </w:r>
          </w:p>
          <w:p>
            <w:pPr>
              <w:widowControl/>
              <w:spacing w:line="440" w:lineRule="exact"/>
              <w:ind w:firstLine="480" w:firstLineChars="200"/>
              <w:rPr>
                <w:rFonts w:ascii="Times New Roman" w:hAnsi="Times New Roman"/>
                <w:b/>
                <w:bCs/>
                <w:color w:val="000000"/>
                <w:kern w:val="0"/>
                <w:sz w:val="24"/>
              </w:rPr>
            </w:pPr>
            <w:r>
              <w:rPr>
                <w:rFonts w:ascii="Times New Roman" w:hAnsi="Times New Roman"/>
                <w:color w:val="000000"/>
                <w:kern w:val="0"/>
                <w:sz w:val="24"/>
              </w:rPr>
              <w:t>京东智谷项目以独有的无限赋能系统，将京东核心资源与能力全面向园区企业开放，以京东全生态能力，通过技术、资本、人才等多重配套与资源叠加，赋能企业全速发展，推进区域产业数字化转型升级，为企业提供远超普通产业园的庞大推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widowControl/>
              <w:spacing w:line="440" w:lineRule="exact"/>
              <w:jc w:val="center"/>
              <w:rPr>
                <w:rFonts w:ascii="Times New Roman" w:hAnsi="Times New Roman"/>
                <w:color w:val="000000"/>
                <w:kern w:val="0"/>
                <w:sz w:val="24"/>
              </w:rPr>
            </w:pPr>
            <w:r>
              <w:rPr>
                <w:rFonts w:ascii="Times New Roman" w:hAnsi="Times New Roman"/>
                <w:b/>
                <w:bCs/>
                <w:color w:val="000000"/>
                <w:kern w:val="0"/>
                <w:sz w:val="24"/>
              </w:rPr>
              <w:t>扶持措施</w:t>
            </w:r>
          </w:p>
        </w:tc>
        <w:tc>
          <w:tcPr>
            <w:tcW w:w="8222" w:type="dxa"/>
            <w:noWrap/>
            <w:vAlign w:val="center"/>
          </w:tcPr>
          <w:p>
            <w:pPr>
              <w:widowControl/>
              <w:spacing w:line="440" w:lineRule="exact"/>
              <w:jc w:val="left"/>
              <w:rPr>
                <w:rFonts w:ascii="Times New Roman" w:hAnsi="Times New Roman"/>
                <w:b/>
                <w:bCs/>
                <w:color w:val="000000"/>
                <w:kern w:val="0"/>
                <w:sz w:val="24"/>
              </w:rPr>
            </w:pPr>
            <w:r>
              <w:rPr>
                <w:rFonts w:ascii="Times New Roman" w:hAnsi="Times New Roman"/>
                <w:b/>
                <w:bCs/>
                <w:color w:val="000000"/>
                <w:kern w:val="0"/>
                <w:sz w:val="24"/>
              </w:rPr>
              <w:t>租金优惠：</w:t>
            </w:r>
            <w:r>
              <w:rPr>
                <w:rFonts w:ascii="Times New Roman" w:hAnsi="Times New Roman"/>
                <w:color w:val="000000"/>
                <w:kern w:val="0"/>
                <w:sz w:val="24"/>
              </w:rPr>
              <w:t>项目为东莞市低成本空间基地，以政府相关政策为标准补贴企业，低成本空间部分，补贴租金25元/㎡；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22"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资源对接：</w:t>
            </w:r>
            <w:r>
              <w:rPr>
                <w:rFonts w:ascii="Times New Roman" w:hAnsi="Times New Roman"/>
                <w:color w:val="000000"/>
                <w:kern w:val="0"/>
                <w:sz w:val="24"/>
              </w:rPr>
              <w:t>项目拥有产业服务、人才服务、政策服务、金融服务京东集团等资源，针对符合政府与园区定位的项目或入驻企业或团队，能够给予业全方位的资源支持。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22"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股权投资：</w:t>
            </w:r>
            <w:r>
              <w:rPr>
                <w:rFonts w:ascii="Times New Roman" w:hAnsi="Times New Roman"/>
                <w:color w:val="000000"/>
                <w:kern w:val="0"/>
                <w:sz w:val="24"/>
              </w:rPr>
              <w:t>项目拥有投资基金，能够对符合投资标的的项目或入驻企业或团队进行相应的资金支持。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22" w:type="dxa"/>
            <w:noWrap/>
            <w:vAlign w:val="center"/>
          </w:tcPr>
          <w:p>
            <w:pPr>
              <w:widowControl/>
              <w:spacing w:line="440" w:lineRule="exact"/>
              <w:jc w:val="left"/>
              <w:rPr>
                <w:rFonts w:ascii="Times New Roman" w:hAnsi="Times New Roman"/>
                <w:color w:val="000000"/>
                <w:kern w:val="0"/>
                <w:sz w:val="24"/>
                <w:lang w:val="en"/>
              </w:rPr>
            </w:pPr>
            <w:r>
              <w:rPr>
                <w:rFonts w:ascii="Times New Roman" w:hAnsi="Times New Roman"/>
                <w:b/>
                <w:bCs/>
                <w:color w:val="000000"/>
                <w:kern w:val="0"/>
                <w:sz w:val="24"/>
                <w:lang w:val="en"/>
              </w:rPr>
              <w:t>扶持奖励：</w:t>
            </w:r>
            <w:r>
              <w:rPr>
                <w:rFonts w:ascii="Times New Roman" w:hAnsi="Times New Roman"/>
                <w:color w:val="000000"/>
                <w:kern w:val="0"/>
                <w:sz w:val="24"/>
                <w:lang w:val="en"/>
              </w:rPr>
              <w:t>针对符合园区定位的企业，采用一企一议的方式，针对性补贴。</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4"/>
        <w:tblpPr w:leftFromText="180" w:rightFromText="180" w:vertAnchor="text" w:horzAnchor="page" w:tblpX="1425" w:tblpY="18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0" w:type="dxa"/>
            <w:gridSpan w:val="2"/>
            <w:vAlign w:val="center"/>
          </w:tcPr>
          <w:p>
            <w:pPr>
              <w:widowControl/>
              <w:spacing w:line="440" w:lineRule="exact"/>
              <w:jc w:val="center"/>
              <w:rPr>
                <w:rFonts w:ascii="Times New Roman" w:hAnsi="Times New Roman"/>
                <w:b/>
                <w:bCs/>
                <w:color w:val="000000"/>
                <w:kern w:val="0"/>
                <w:sz w:val="28"/>
                <w:szCs w:val="28"/>
              </w:rPr>
            </w:pPr>
            <w:r>
              <w:rPr>
                <w:rFonts w:ascii="Times New Roman" w:hAnsi="Times New Roman"/>
                <w:b/>
                <w:bCs/>
                <w:color w:val="000000"/>
                <w:kern w:val="0"/>
                <w:sz w:val="28"/>
                <w:szCs w:val="28"/>
              </w:rPr>
              <w:t>天集•磁海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36" w:type="dxa"/>
            <w:vAlign w:val="center"/>
          </w:tcPr>
          <w:p>
            <w:pPr>
              <w:widowControl/>
              <w:spacing w:line="440" w:lineRule="exact"/>
              <w:ind w:firstLine="480" w:firstLineChars="200"/>
              <w:rPr>
                <w:rFonts w:ascii="Times New Roman" w:hAnsi="Times New Roman"/>
                <w:color w:val="000000"/>
                <w:kern w:val="0"/>
                <w:sz w:val="24"/>
              </w:rPr>
            </w:pPr>
            <w:r>
              <w:rPr>
                <w:rFonts w:ascii="Times New Roman" w:hAnsi="Times New Roman"/>
                <w:color w:val="000000"/>
                <w:kern w:val="0"/>
                <w:sz w:val="24"/>
              </w:rPr>
              <w:t>天集·磁海位于东莞黄江镇田心村，属广东省、东莞市两级重大项目，是由高瓴集团参股的专业园区开发运营服务商天集产城集团在东莞的首开力作。项目占地面积约43万㎡，规划总建面约173万㎡。其中，一期属M0新型工业用地，占地约6.6万㎡，计容建筑面积约26万㎡。项目以高端装备、智能制造和新一代信息技术为主导产业，以科技金融等生产性服务业为配套产业，配备尖端企业大厦、科研中试空间、空中智造工厂、企业领航总部及配套人才公寓等空间载体。</w:t>
            </w:r>
          </w:p>
          <w:p>
            <w:pPr>
              <w:widowControl/>
              <w:spacing w:line="440" w:lineRule="exact"/>
              <w:ind w:firstLine="480" w:firstLineChars="200"/>
              <w:rPr>
                <w:rFonts w:ascii="Times New Roman" w:hAnsi="Times New Roman"/>
                <w:b/>
                <w:bCs/>
                <w:color w:val="000000"/>
                <w:kern w:val="0"/>
                <w:sz w:val="24"/>
              </w:rPr>
            </w:pPr>
            <w:r>
              <w:rPr>
                <w:rFonts w:ascii="Times New Roman" w:hAnsi="Times New Roman"/>
                <w:color w:val="000000"/>
                <w:kern w:val="0"/>
                <w:sz w:val="24"/>
              </w:rPr>
              <w:t>园区地处国家级双科学城中轴C位，被划入松山湖科学城规划范围之内，无缝对对接深圳光明科学城，坐拥3轨道8站点的黄江TOD小镇规划地利；距G94珠三角环线高速黄江出入口2公里，距东莞地铁1号线黄江中心站800米，接驳深圳6号线支线（2站5公里到光明中山大学站）。园区以东莞黄江综合成本，近享深莞顶级创新资源，以及黄江优质山水资源、华师附全龄名校资源、千亿产业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widowControl/>
              <w:spacing w:line="440" w:lineRule="exact"/>
              <w:jc w:val="center"/>
              <w:rPr>
                <w:rFonts w:ascii="Times New Roman" w:hAnsi="Times New Roman"/>
                <w:color w:val="000000"/>
                <w:kern w:val="0"/>
                <w:sz w:val="24"/>
              </w:rPr>
            </w:pPr>
            <w:r>
              <w:rPr>
                <w:rFonts w:ascii="Times New Roman" w:hAnsi="Times New Roman"/>
                <w:b/>
                <w:bCs/>
                <w:color w:val="000000"/>
                <w:kern w:val="0"/>
                <w:sz w:val="24"/>
              </w:rPr>
              <w:t>扶持措施</w:t>
            </w:r>
          </w:p>
        </w:tc>
        <w:tc>
          <w:tcPr>
            <w:tcW w:w="8236" w:type="dxa"/>
            <w:noWrap/>
            <w:vAlign w:val="center"/>
          </w:tcPr>
          <w:p>
            <w:pPr>
              <w:widowControl/>
              <w:spacing w:line="440" w:lineRule="exact"/>
              <w:jc w:val="left"/>
              <w:rPr>
                <w:rFonts w:ascii="Times New Roman" w:hAnsi="Times New Roman"/>
                <w:b/>
                <w:bCs/>
                <w:color w:val="000000"/>
                <w:kern w:val="0"/>
                <w:sz w:val="24"/>
              </w:rPr>
            </w:pPr>
            <w:r>
              <w:rPr>
                <w:rFonts w:ascii="Times New Roman" w:hAnsi="Times New Roman"/>
                <w:b/>
                <w:bCs/>
                <w:color w:val="000000"/>
                <w:kern w:val="0"/>
                <w:sz w:val="24"/>
              </w:rPr>
              <w:t>租金优惠：</w:t>
            </w:r>
            <w:r>
              <w:rPr>
                <w:rFonts w:hint="eastAsia" w:ascii="Times New Roman" w:hAnsi="Times New Roman"/>
                <w:color w:val="000000"/>
                <w:kern w:val="0"/>
                <w:sz w:val="24"/>
              </w:rPr>
              <w:t>1</w:t>
            </w:r>
            <w:r>
              <w:rPr>
                <w:rFonts w:ascii="Times New Roman" w:hAnsi="Times New Roman"/>
                <w:color w:val="000000"/>
                <w:kern w:val="0"/>
                <w:sz w:val="24"/>
                <w:lang w:val="en"/>
              </w:rPr>
              <w:t>．</w:t>
            </w:r>
            <w:r>
              <w:rPr>
                <w:rFonts w:hint="eastAsia" w:ascii="Times New Roman" w:hAnsi="Times New Roman"/>
                <w:color w:val="000000"/>
                <w:kern w:val="0"/>
                <w:sz w:val="24"/>
              </w:rPr>
              <w:t>现正申报东莞市低成本空间基地，以政府相关政策为标准补贴企业；2</w:t>
            </w:r>
            <w:r>
              <w:rPr>
                <w:rFonts w:ascii="Times New Roman" w:hAnsi="Times New Roman"/>
                <w:color w:val="000000"/>
                <w:kern w:val="0"/>
                <w:sz w:val="24"/>
                <w:lang w:val="en"/>
              </w:rPr>
              <w:t>．</w:t>
            </w:r>
            <w:r>
              <w:rPr>
                <w:rFonts w:hint="eastAsia" w:ascii="Times New Roman" w:hAnsi="Times New Roman"/>
                <w:color w:val="000000"/>
                <w:kern w:val="0"/>
                <w:sz w:val="24"/>
              </w:rPr>
              <w:t>对优质项目或人才进驻孵化基地的最高享受3个月免租期。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36"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资源对接：</w:t>
            </w:r>
            <w:r>
              <w:rPr>
                <w:rFonts w:ascii="Times New Roman" w:hAnsi="Times New Roman"/>
                <w:color w:val="000000"/>
                <w:kern w:val="0"/>
                <w:sz w:val="24"/>
              </w:rPr>
              <w:t>高瓴集团、时空大数据粤港澳大湾区技术产业联盟等资源，对符合园区产业定位（新一代信息技术、高端装备、智能智造）的优质企业或项目团队采用一企一议的方式，给予全方位资源的支持。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36"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股权投资：</w:t>
            </w:r>
            <w:r>
              <w:rPr>
                <w:rFonts w:ascii="Times New Roman" w:hAnsi="Times New Roman"/>
                <w:color w:val="000000"/>
                <w:kern w:val="0"/>
                <w:sz w:val="24"/>
              </w:rPr>
              <w:t>力合金融、高瓴投资基金（筹备）。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36" w:type="dxa"/>
            <w:noWrap/>
            <w:vAlign w:val="center"/>
          </w:tcPr>
          <w:p>
            <w:pPr>
              <w:widowControl/>
              <w:spacing w:line="440" w:lineRule="exact"/>
              <w:jc w:val="left"/>
              <w:rPr>
                <w:rFonts w:ascii="Times New Roman" w:hAnsi="Times New Roman"/>
                <w:color w:val="000000"/>
                <w:kern w:val="0"/>
                <w:sz w:val="24"/>
                <w:lang w:val="en"/>
              </w:rPr>
            </w:pPr>
            <w:r>
              <w:rPr>
                <w:rFonts w:hint="eastAsia" w:ascii="Times New Roman" w:hAnsi="Times New Roman"/>
                <w:b/>
                <w:bCs/>
                <w:color w:val="000000"/>
                <w:kern w:val="0"/>
                <w:sz w:val="24"/>
                <w:lang w:val="en"/>
              </w:rPr>
              <w:t>其他</w:t>
            </w:r>
            <w:r>
              <w:rPr>
                <w:rFonts w:ascii="Times New Roman" w:hAnsi="Times New Roman"/>
                <w:b/>
                <w:bCs/>
                <w:color w:val="000000"/>
                <w:kern w:val="0"/>
                <w:sz w:val="24"/>
                <w:lang w:val="en"/>
              </w:rPr>
              <w:t>：</w:t>
            </w:r>
            <w:r>
              <w:rPr>
                <w:rFonts w:ascii="Times New Roman" w:hAnsi="Times New Roman"/>
                <w:color w:val="000000"/>
                <w:kern w:val="0"/>
                <w:sz w:val="24"/>
                <w:lang w:val="en"/>
              </w:rPr>
              <w:t>1．免费提供工商注册、人才招聘、法律服务、财税咨询、专利申请、专业导师辅导等；2．优先推荐项目申报政府科技资金扶持、推荐高瓴项目路演，推荐风投、天使基金等专业机构对接。</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vAlign w:val="center"/>
          </w:tcPr>
          <w:p>
            <w:pPr>
              <w:widowControl/>
              <w:spacing w:line="440" w:lineRule="exact"/>
              <w:jc w:val="center"/>
              <w:rPr>
                <w:rFonts w:ascii="Times New Roman" w:hAnsi="Times New Roman"/>
                <w:b/>
                <w:bCs/>
                <w:color w:val="000000"/>
                <w:kern w:val="0"/>
                <w:sz w:val="28"/>
                <w:szCs w:val="28"/>
              </w:rPr>
            </w:pPr>
            <w:r>
              <w:rPr>
                <w:rFonts w:hint="eastAsia" w:ascii="Times New Roman" w:hAnsi="Times New Roman"/>
                <w:b/>
                <w:bCs/>
                <w:color w:val="000000"/>
                <w:kern w:val="0"/>
                <w:sz w:val="28"/>
                <w:szCs w:val="28"/>
              </w:rPr>
              <w:t>滨海湾湾区1号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22" w:type="dxa"/>
            <w:vAlign w:val="center"/>
          </w:tcPr>
          <w:p>
            <w:pPr>
              <w:widowControl/>
              <w:spacing w:line="440" w:lineRule="exact"/>
              <w:ind w:firstLine="480" w:firstLineChars="200"/>
              <w:rPr>
                <w:rFonts w:ascii="Times New Roman" w:hAnsi="Times New Roman"/>
                <w:kern w:val="0"/>
                <w:sz w:val="24"/>
              </w:rPr>
            </w:pPr>
            <w:r>
              <w:rPr>
                <w:rFonts w:hint="eastAsia" w:ascii="Times New Roman" w:hAnsi="Times New Roman"/>
                <w:kern w:val="0"/>
                <w:sz w:val="24"/>
              </w:rPr>
              <w:t>滨海湾</w:t>
            </w:r>
            <w:r>
              <w:rPr>
                <w:rFonts w:ascii="Times New Roman" w:hAnsi="Times New Roman"/>
                <w:kern w:val="0"/>
                <w:sz w:val="24"/>
              </w:rPr>
              <w:t>湾区1号定位为高端现代产业园区，作为滨海湾新区融入粤港澳大湾区建设的“一号工程”，采用土地1.5级开发模式，建筑面积11.8万㎡，着力打造成为新区重要的现代产业集聚与创新资源集聚平台和标志性政、商、科、金中心，重点引进高端电子信息、新能源、生物技术、新材料、节能环保、新一代电子信息技术、3D打印、海洋产业、智能制造、科技金融等战略性新兴产业和高端服务业入园发展。</w:t>
            </w:r>
          </w:p>
          <w:p>
            <w:pPr>
              <w:widowControl/>
              <w:spacing w:line="440" w:lineRule="exact"/>
              <w:ind w:firstLine="480" w:firstLineChars="200"/>
              <w:rPr>
                <w:rFonts w:ascii="Times New Roman" w:hAnsi="Times New Roman"/>
                <w:b/>
                <w:bCs/>
                <w:color w:val="FF0000"/>
                <w:kern w:val="0"/>
                <w:sz w:val="24"/>
              </w:rPr>
            </w:pPr>
            <w:r>
              <w:rPr>
                <w:rFonts w:ascii="Times New Roman" w:hAnsi="Times New Roman"/>
                <w:kern w:val="0"/>
                <w:sz w:val="24"/>
              </w:rPr>
              <w:t>滨海湾新区引领东莞未来30年发展，“湾区1号”作为新区首开项目，力争以完善和人性化的配套、优质和高效率的服务、优美和生态融合的环境，着力打造新区重大产业项目的承接平台。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noWrap/>
            <w:vAlign w:val="center"/>
          </w:tcPr>
          <w:p>
            <w:pPr>
              <w:widowControl/>
              <w:spacing w:line="440" w:lineRule="exact"/>
              <w:jc w:val="center"/>
              <w:rPr>
                <w:rFonts w:ascii="Times New Roman" w:hAnsi="Times New Roman"/>
                <w:color w:val="000000"/>
                <w:kern w:val="0"/>
                <w:sz w:val="24"/>
              </w:rPr>
            </w:pPr>
            <w:r>
              <w:rPr>
                <w:rFonts w:ascii="Times New Roman" w:hAnsi="Times New Roman"/>
                <w:b/>
                <w:bCs/>
                <w:color w:val="000000"/>
                <w:kern w:val="0"/>
                <w:sz w:val="24"/>
              </w:rPr>
              <w:t>扶持措施</w:t>
            </w:r>
          </w:p>
        </w:tc>
        <w:tc>
          <w:tcPr>
            <w:tcW w:w="8222" w:type="dxa"/>
            <w:noWrap/>
            <w:vAlign w:val="center"/>
          </w:tcPr>
          <w:p>
            <w:pPr>
              <w:widowControl/>
              <w:spacing w:line="440" w:lineRule="exact"/>
              <w:jc w:val="left"/>
              <w:rPr>
                <w:rFonts w:ascii="Times New Roman" w:hAnsi="Times New Roman"/>
                <w:b/>
                <w:bCs/>
                <w:color w:val="FF0000"/>
                <w:kern w:val="0"/>
                <w:sz w:val="24"/>
              </w:rPr>
            </w:pPr>
            <w:r>
              <w:rPr>
                <w:rFonts w:ascii="Times New Roman" w:hAnsi="Times New Roman"/>
                <w:b/>
                <w:bCs/>
                <w:kern w:val="0"/>
                <w:sz w:val="24"/>
              </w:rPr>
              <w:t>租金优惠：</w:t>
            </w:r>
            <w:r>
              <w:rPr>
                <w:rFonts w:hint="eastAsia" w:ascii="Times New Roman" w:hAnsi="Times New Roman"/>
                <w:kern w:val="0"/>
                <w:sz w:val="24"/>
              </w:rPr>
              <w:t>正</w:t>
            </w:r>
            <w:r>
              <w:rPr>
                <w:rFonts w:ascii="Times New Roman" w:hAnsi="Times New Roman"/>
                <w:kern w:val="0"/>
                <w:sz w:val="24"/>
              </w:rPr>
              <w:t>在申报东莞市低成本空间，原则上场地租赁扶持奖励标准为场地租金减免50%，减免年限最高不超过3年；特别优质项目可给予突破场地租赁扶持标准的租金补贴（优惠）</w:t>
            </w:r>
            <w:r>
              <w:rPr>
                <w:rFonts w:hint="eastAsia" w:ascii="Times New Roman" w:hAnsi="Times New Roman"/>
                <w:kern w:val="0"/>
                <w:sz w:val="24"/>
              </w:rPr>
              <w:t>。</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4"/>
        <w:tblpPr w:leftFromText="180" w:rightFromText="180" w:vertAnchor="text" w:horzAnchor="page" w:tblpX="1425" w:tblpY="18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94" w:type="dxa"/>
            <w:gridSpan w:val="2"/>
            <w:vAlign w:val="center"/>
          </w:tcPr>
          <w:p>
            <w:pPr>
              <w:widowControl/>
              <w:spacing w:line="440" w:lineRule="exact"/>
              <w:jc w:val="center"/>
              <w:rPr>
                <w:rFonts w:ascii="Times New Roman" w:hAnsi="Times New Roman"/>
                <w:b/>
                <w:bCs/>
                <w:color w:val="000000"/>
                <w:kern w:val="0"/>
                <w:sz w:val="28"/>
                <w:szCs w:val="28"/>
              </w:rPr>
            </w:pPr>
            <w:r>
              <w:rPr>
                <w:rFonts w:hint="eastAsia" w:ascii="Times New Roman" w:hAnsi="Times New Roman"/>
                <w:b/>
                <w:bCs/>
                <w:color w:val="000000"/>
                <w:kern w:val="0"/>
                <w:sz w:val="28"/>
                <w:szCs w:val="28"/>
              </w:rPr>
              <w:t>东莞市国际技术转移中心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50" w:type="dxa"/>
            <w:vAlign w:val="center"/>
          </w:tcPr>
          <w:p>
            <w:pPr>
              <w:widowControl/>
              <w:spacing w:line="440" w:lineRule="exact"/>
              <w:ind w:firstLine="480" w:firstLineChars="200"/>
              <w:rPr>
                <w:rFonts w:ascii="Times New Roman" w:hAnsi="Times New Roman"/>
                <w:color w:val="000000"/>
                <w:kern w:val="0"/>
                <w:sz w:val="24"/>
              </w:rPr>
            </w:pPr>
            <w:r>
              <w:rPr>
                <w:rFonts w:ascii="Times New Roman" w:hAnsi="Times New Roman"/>
                <w:color w:val="000000"/>
                <w:kern w:val="0"/>
                <w:sz w:val="24"/>
              </w:rPr>
              <w:t>东莞市国际技术转移中心（以下简称：转移中心）成立于2019年4月，是由东莞市科技局委托清华东莞创新中心联合其他企事业单位组建的综合科技服务平台。其使命是围绕东莞产业发展需求，带动东莞市相关科研机构及企业开展国际技术转移工作，推动一批跨国技术转移服务机构聚集东莞，吸引一批国际先进技术、人才和项目落户东莞，为加速东莞打造大湾区科技创新、先进制造、人才聚集三大新高地提供国际化支撑。</w:t>
            </w:r>
          </w:p>
          <w:p>
            <w:pPr>
              <w:widowControl/>
              <w:spacing w:line="440" w:lineRule="exact"/>
              <w:ind w:firstLine="480" w:firstLineChars="200"/>
              <w:rPr>
                <w:rFonts w:ascii="Times New Roman" w:hAnsi="Times New Roman"/>
                <w:b/>
                <w:bCs/>
                <w:color w:val="000000"/>
                <w:kern w:val="0"/>
                <w:sz w:val="24"/>
              </w:rPr>
            </w:pPr>
            <w:r>
              <w:rPr>
                <w:rFonts w:ascii="Times New Roman" w:hAnsi="Times New Roman"/>
                <w:color w:val="000000"/>
                <w:kern w:val="0"/>
                <w:sz w:val="24"/>
              </w:rPr>
              <w:t>转移中心紧跟国家“一带一路”、“粤港澳大湾区建设”、东莞市“倍增计划”等重大战略规划，在现有海外驻点平台（美国硅谷、俄罗斯、拉丁美洲等）的基础上，联合其它企事业单位进一步构建完善的国际资源网络，为海内外创新创业项目提供从项目引进、股权投资，产业对接、落地服务、培育集群等全链条服务，开展多渠道、宽领域、全方位的国际技术转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widowControl/>
              <w:spacing w:line="440" w:lineRule="exact"/>
              <w:jc w:val="center"/>
              <w:rPr>
                <w:rFonts w:ascii="Times New Roman" w:hAnsi="Times New Roman"/>
                <w:color w:val="000000"/>
                <w:kern w:val="0"/>
                <w:sz w:val="24"/>
              </w:rPr>
            </w:pPr>
            <w:r>
              <w:rPr>
                <w:rFonts w:ascii="Times New Roman" w:hAnsi="Times New Roman"/>
                <w:b/>
                <w:bCs/>
                <w:color w:val="000000"/>
                <w:kern w:val="0"/>
                <w:sz w:val="24"/>
              </w:rPr>
              <w:t>扶持措施</w:t>
            </w:r>
          </w:p>
        </w:tc>
        <w:tc>
          <w:tcPr>
            <w:tcW w:w="8250" w:type="dxa"/>
            <w:noWrap/>
            <w:vAlign w:val="center"/>
          </w:tcPr>
          <w:p>
            <w:pPr>
              <w:widowControl/>
              <w:spacing w:line="440" w:lineRule="exact"/>
              <w:jc w:val="left"/>
              <w:rPr>
                <w:rFonts w:ascii="Times New Roman" w:hAnsi="Times New Roman"/>
                <w:b/>
                <w:bCs/>
                <w:color w:val="000000"/>
                <w:kern w:val="0"/>
                <w:sz w:val="24"/>
              </w:rPr>
            </w:pPr>
            <w:r>
              <w:rPr>
                <w:rFonts w:ascii="Times New Roman" w:hAnsi="Times New Roman"/>
                <w:b/>
                <w:bCs/>
                <w:color w:val="000000"/>
                <w:kern w:val="0"/>
                <w:sz w:val="24"/>
              </w:rPr>
              <w:t>租金优惠：</w:t>
            </w:r>
            <w:r>
              <w:rPr>
                <w:rFonts w:hint="eastAsia" w:ascii="Times New Roman" w:hAnsi="Times New Roman"/>
                <w:color w:val="000000"/>
                <w:kern w:val="0"/>
                <w:sz w:val="24"/>
              </w:rPr>
              <w:t>针对高科技或高层次人才创业企业，视情况给予租金优惠。评审维度包括科技含量、创业团队、知识产权、增长速度或发展潜力、营收和纳税能力等。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50"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资源对接：</w:t>
            </w:r>
            <w:r>
              <w:rPr>
                <w:rFonts w:ascii="Times New Roman" w:hAnsi="Times New Roman"/>
                <w:color w:val="000000"/>
                <w:kern w:val="0"/>
                <w:sz w:val="24"/>
              </w:rPr>
              <w:t>提供产业转化加速、国际成果汇聚、政府政策支持、金融资本对接、创业辅导培训、服务机构合作等全链条资源对接网络，并协助企业进行对接整合。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50" w:type="dxa"/>
            <w:noWrap/>
            <w:vAlign w:val="center"/>
          </w:tcPr>
          <w:p>
            <w:pPr>
              <w:widowControl/>
              <w:spacing w:line="440" w:lineRule="exact"/>
              <w:jc w:val="left"/>
              <w:rPr>
                <w:rFonts w:ascii="Times New Roman" w:hAnsi="Times New Roman"/>
                <w:color w:val="000000"/>
                <w:kern w:val="0"/>
                <w:sz w:val="24"/>
              </w:rPr>
            </w:pPr>
            <w:r>
              <w:rPr>
                <w:rFonts w:ascii="Times New Roman" w:hAnsi="Times New Roman"/>
                <w:b/>
                <w:bCs/>
                <w:color w:val="000000"/>
                <w:kern w:val="0"/>
                <w:sz w:val="24"/>
              </w:rPr>
              <w:t>股权投资：</w:t>
            </w:r>
            <w:r>
              <w:rPr>
                <w:rFonts w:ascii="Times New Roman" w:hAnsi="Times New Roman"/>
                <w:color w:val="000000"/>
                <w:kern w:val="0"/>
                <w:sz w:val="24"/>
              </w:rPr>
              <w:t>通过定期召开项目融资路演对接会及一对一精准对接等方式，为入孵企业提供投资机构对接渠道和商业咨询辅导，满足不同阶段的融资需求。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50" w:type="dxa"/>
            <w:noWrap/>
            <w:vAlign w:val="center"/>
          </w:tcPr>
          <w:p>
            <w:pPr>
              <w:widowControl/>
              <w:spacing w:line="440" w:lineRule="exact"/>
              <w:jc w:val="left"/>
              <w:rPr>
                <w:rFonts w:ascii="Times New Roman" w:hAnsi="Times New Roman"/>
                <w:color w:val="000000"/>
                <w:kern w:val="0"/>
                <w:sz w:val="24"/>
                <w:lang w:val="en"/>
              </w:rPr>
            </w:pPr>
            <w:r>
              <w:rPr>
                <w:rFonts w:hint="eastAsia" w:ascii="Times New Roman" w:hAnsi="Times New Roman"/>
                <w:b/>
                <w:bCs/>
                <w:color w:val="000000"/>
                <w:kern w:val="0"/>
                <w:sz w:val="24"/>
                <w:lang w:val="en"/>
              </w:rPr>
              <w:t>其他</w:t>
            </w:r>
            <w:r>
              <w:rPr>
                <w:rFonts w:ascii="Times New Roman" w:hAnsi="Times New Roman"/>
                <w:b/>
                <w:bCs/>
                <w:color w:val="000000"/>
                <w:kern w:val="0"/>
                <w:sz w:val="24"/>
                <w:lang w:val="en"/>
              </w:rPr>
              <w:t>：</w:t>
            </w:r>
            <w:r>
              <w:rPr>
                <w:rFonts w:ascii="Times New Roman" w:hAnsi="Times New Roman"/>
                <w:color w:val="000000"/>
                <w:kern w:val="0"/>
                <w:sz w:val="24"/>
                <w:lang w:val="en"/>
              </w:rPr>
              <w:t>协助入孵企业匹配和申报各级政府部门相关的扶持奖励政策。</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vAlign w:val="center"/>
          </w:tcPr>
          <w:p>
            <w:pPr>
              <w:widowControl/>
              <w:spacing w:line="440" w:lineRule="exact"/>
              <w:jc w:val="center"/>
              <w:rPr>
                <w:rFonts w:ascii="Times New Roman" w:hAnsi="Times New Roman"/>
                <w:b/>
                <w:bCs/>
                <w:color w:val="000000"/>
                <w:kern w:val="0"/>
                <w:sz w:val="28"/>
                <w:szCs w:val="28"/>
              </w:rPr>
            </w:pPr>
            <w:r>
              <w:rPr>
                <w:rFonts w:hint="eastAsia" w:ascii="Times New Roman" w:hAnsi="Times New Roman"/>
                <w:b/>
                <w:bCs/>
                <w:color w:val="000000"/>
                <w:kern w:val="0"/>
                <w:sz w:val="28"/>
                <w:szCs w:val="28"/>
              </w:rPr>
              <w:t>汇峰中心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22" w:type="dxa"/>
            <w:vAlign w:val="center"/>
          </w:tcPr>
          <w:p>
            <w:pPr>
              <w:widowControl/>
              <w:spacing w:line="440" w:lineRule="exact"/>
              <w:ind w:firstLine="480" w:firstLineChars="200"/>
              <w:rPr>
                <w:rFonts w:ascii="Times New Roman" w:hAnsi="Times New Roman"/>
                <w:kern w:val="0"/>
                <w:sz w:val="24"/>
              </w:rPr>
            </w:pPr>
            <w:r>
              <w:rPr>
                <w:rFonts w:ascii="Times New Roman" w:hAnsi="Times New Roman"/>
                <w:kern w:val="0"/>
                <w:sz w:val="24"/>
              </w:rPr>
              <w:t>汇峰中心位于旗峰路与体育路交汇处，项目总投资额超10亿元，占地约62亩，总建筑面积约21万平方米，于2011年1月建成。项目含地下三层停车场，地上十层主体建筑，四至十层为精装交付的甲级写字楼。汇峰中心属于市重点招商园区，以租金补贴（优惠）、财政奖励等措施鼓励引进高成长性项目和市招商引资重特大项目。，为企业降低租赁场地成本，吸引优质企业落地。</w:t>
            </w:r>
          </w:p>
          <w:p>
            <w:pPr>
              <w:widowControl/>
              <w:spacing w:line="440" w:lineRule="exact"/>
              <w:ind w:firstLine="480" w:firstLineChars="200"/>
              <w:rPr>
                <w:rFonts w:ascii="Times New Roman" w:hAnsi="Times New Roman"/>
                <w:b/>
                <w:bCs/>
                <w:color w:val="FF0000"/>
                <w:kern w:val="0"/>
                <w:sz w:val="24"/>
              </w:rPr>
            </w:pPr>
            <w:r>
              <w:rPr>
                <w:rFonts w:ascii="Times New Roman" w:hAnsi="Times New Roman"/>
                <w:kern w:val="0"/>
                <w:sz w:val="24"/>
              </w:rPr>
              <w:t>汇峰中心秉持“海纳百川，以客为尊”的原则，努力建立东莞高级写字楼标准新高度，打造国际高端企业新据点。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扶持措施</w:t>
            </w:r>
          </w:p>
        </w:tc>
        <w:tc>
          <w:tcPr>
            <w:tcW w:w="8222" w:type="dxa"/>
            <w:vAlign w:val="center"/>
          </w:tcPr>
          <w:p>
            <w:pPr>
              <w:widowControl/>
              <w:spacing w:line="440" w:lineRule="exact"/>
              <w:rPr>
                <w:rFonts w:ascii="Times New Roman" w:hAnsi="Times New Roman"/>
                <w:kern w:val="0"/>
                <w:sz w:val="24"/>
              </w:rPr>
            </w:pPr>
            <w:r>
              <w:rPr>
                <w:rFonts w:ascii="Times New Roman" w:hAnsi="Times New Roman"/>
                <w:b/>
                <w:bCs/>
                <w:color w:val="000000"/>
                <w:kern w:val="0"/>
                <w:sz w:val="24"/>
              </w:rPr>
              <w:t>租金优惠：</w:t>
            </w:r>
            <w:r>
              <w:rPr>
                <w:rFonts w:ascii="Times New Roman" w:hAnsi="Times New Roman"/>
                <w:color w:val="000000"/>
                <w:kern w:val="0"/>
                <w:sz w:val="24"/>
              </w:rPr>
              <w:t>符合条件并经批准入驻市重点招商园区（低成本空间）的项目或企业原则上享受的场地租赁扶持标准为场地租金减免50%</w:t>
            </w:r>
            <w:r>
              <w:rPr>
                <w:rFonts w:hint="eastAsia" w:ascii="Times New Roman" w:hAnsi="Times New Roman"/>
                <w:color w:val="000000"/>
                <w:kern w:val="0"/>
                <w:sz w:val="24"/>
              </w:rPr>
              <w:t>。</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4"/>
        <w:tblpPr w:leftFromText="180" w:rightFromText="180" w:vertAnchor="text" w:horzAnchor="page" w:tblpX="1425" w:tblpY="18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0" w:type="dxa"/>
            <w:gridSpan w:val="2"/>
            <w:vAlign w:val="center"/>
          </w:tcPr>
          <w:p>
            <w:pPr>
              <w:widowControl/>
              <w:spacing w:line="440" w:lineRule="exact"/>
              <w:jc w:val="center"/>
              <w:rPr>
                <w:rFonts w:ascii="Times New Roman" w:hAnsi="Times New Roman"/>
                <w:b/>
                <w:bCs/>
                <w:color w:val="000000"/>
                <w:kern w:val="0"/>
                <w:sz w:val="30"/>
                <w:szCs w:val="30"/>
              </w:rPr>
            </w:pPr>
            <w:r>
              <w:rPr>
                <w:rFonts w:hint="eastAsia" w:ascii="Times New Roman" w:hAnsi="Times New Roman"/>
                <w:b/>
                <w:bCs/>
                <w:color w:val="000000"/>
                <w:kern w:val="0"/>
                <w:sz w:val="28"/>
                <w:szCs w:val="28"/>
              </w:rPr>
              <w:t>蚂蚁智慧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36" w:type="dxa"/>
            <w:vAlign w:val="center"/>
          </w:tcPr>
          <w:p>
            <w:pPr>
              <w:widowControl/>
              <w:spacing w:line="440" w:lineRule="exact"/>
              <w:ind w:firstLine="480" w:firstLineChars="200"/>
              <w:rPr>
                <w:rFonts w:ascii="Times New Roman" w:hAnsi="Times New Roman"/>
                <w:b/>
                <w:bCs/>
                <w:color w:val="FF0000"/>
                <w:kern w:val="0"/>
                <w:sz w:val="24"/>
              </w:rPr>
            </w:pPr>
            <w:r>
              <w:rPr>
                <w:rFonts w:ascii="Times New Roman" w:hAnsi="Times New Roman"/>
                <w:kern w:val="0"/>
                <w:sz w:val="24"/>
              </w:rPr>
              <w:t>松山湖港澳青年创新创业基地-蚂蚁智慧（原名松山湖港澳青年创业基地）由松山湖推动成立，由拥有9年港澳青年孵化经验的专业服务团队负责日常运营。基地于2017年12月开始筹划，2018年6月启动运营。基地已被广东省科技厅认定为粤港澳科技企业孵化器，此项认定加强了基地对接港澳及全球科技创新资源，推动我省科技企业孵化载体国际化发展。目前基地已经进驻企业47家，项目涉及超70位港澳青年到松山湖创业发展，主要涉及教育、智慧城市、人工智能、生物科技、环保、3D医疗、文化创意、人力资源等行业。举办超过 35场港澳主题创新创业就业主题活动及交流活动，服务港澳青年等超过4000人次，促成大量合作。基地致力于打造成为承接港澳地区项目落地发展的专业服务支援商，为港澳青年创新创业项目提供就近转化、迅速量产和高效市场对接的优质机会，成为港澳人才高速聚集、港澳创新技术高效转化、粤港澳创新资源高度融合的大湾区港澳青年创业孵化示范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restart"/>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扶持措施</w:t>
            </w:r>
          </w:p>
        </w:tc>
        <w:tc>
          <w:tcPr>
            <w:tcW w:w="8236" w:type="dxa"/>
            <w:vAlign w:val="center"/>
          </w:tcPr>
          <w:p>
            <w:pPr>
              <w:widowControl/>
              <w:spacing w:line="440" w:lineRule="exact"/>
              <w:rPr>
                <w:rFonts w:ascii="Times New Roman" w:hAnsi="Times New Roman"/>
                <w:kern w:val="0"/>
                <w:sz w:val="24"/>
              </w:rPr>
            </w:pPr>
            <w:r>
              <w:rPr>
                <w:rFonts w:ascii="Times New Roman" w:hAnsi="Times New Roman"/>
                <w:b/>
                <w:bCs/>
                <w:kern w:val="0"/>
                <w:sz w:val="24"/>
              </w:rPr>
              <w:t>租金优惠：</w:t>
            </w:r>
            <w:r>
              <w:rPr>
                <w:rFonts w:ascii="Times New Roman" w:hAnsi="Times New Roman"/>
                <w:kern w:val="0"/>
                <w:sz w:val="24"/>
              </w:rPr>
              <w:t>入库企业在基地租赁办公场地，租赁面积100平方米以下（含）的，按实缴租金给予全额补贴，租赁面积超过100平方米的部分，按实缴租金的一半给予补贴。每家创业企业租金补贴额不超过6000元/月，补贴期限为2年；第三年免办公室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continue"/>
            <w:vAlign w:val="center"/>
          </w:tcPr>
          <w:p>
            <w:pPr>
              <w:widowControl/>
              <w:spacing w:line="440" w:lineRule="exact"/>
              <w:jc w:val="center"/>
              <w:rPr>
                <w:rFonts w:ascii="Times New Roman" w:hAnsi="Times New Roman"/>
                <w:b/>
                <w:bCs/>
                <w:color w:val="000000"/>
                <w:kern w:val="0"/>
                <w:sz w:val="24"/>
              </w:rPr>
            </w:pPr>
          </w:p>
        </w:tc>
        <w:tc>
          <w:tcPr>
            <w:tcW w:w="8236" w:type="dxa"/>
            <w:vAlign w:val="center"/>
          </w:tcPr>
          <w:p>
            <w:pPr>
              <w:widowControl/>
              <w:spacing w:line="440" w:lineRule="exact"/>
              <w:rPr>
                <w:rFonts w:ascii="Times New Roman" w:hAnsi="Times New Roman"/>
                <w:kern w:val="0"/>
                <w:sz w:val="24"/>
              </w:rPr>
            </w:pPr>
            <w:r>
              <w:rPr>
                <w:rFonts w:ascii="Times New Roman" w:hAnsi="Times New Roman"/>
                <w:b/>
                <w:bCs/>
                <w:kern w:val="0"/>
                <w:sz w:val="24"/>
              </w:rPr>
              <w:t>资源对接：</w:t>
            </w:r>
            <w:r>
              <w:rPr>
                <w:rFonts w:ascii="Times New Roman" w:hAnsi="Times New Roman"/>
                <w:kern w:val="0"/>
                <w:sz w:val="24"/>
              </w:rPr>
              <w:t>建立企业需求库，为入库企业提供香港科学园、香港明汇智库、澳门青年创业孵化中心等港澳机构本土扶持及落地资源、科技人才资源、产业链资源对接等。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continue"/>
            <w:vAlign w:val="center"/>
          </w:tcPr>
          <w:p>
            <w:pPr>
              <w:widowControl/>
              <w:spacing w:line="440" w:lineRule="exact"/>
              <w:jc w:val="center"/>
              <w:rPr>
                <w:rFonts w:ascii="Times New Roman" w:hAnsi="Times New Roman"/>
                <w:b/>
                <w:bCs/>
                <w:color w:val="000000"/>
                <w:kern w:val="0"/>
                <w:sz w:val="24"/>
              </w:rPr>
            </w:pPr>
          </w:p>
        </w:tc>
        <w:tc>
          <w:tcPr>
            <w:tcW w:w="8236" w:type="dxa"/>
            <w:vAlign w:val="center"/>
          </w:tcPr>
          <w:p>
            <w:pPr>
              <w:widowControl/>
              <w:spacing w:line="440" w:lineRule="exact"/>
              <w:rPr>
                <w:rFonts w:ascii="Times New Roman" w:hAnsi="Times New Roman"/>
                <w:b/>
                <w:bCs/>
                <w:kern w:val="0"/>
                <w:sz w:val="24"/>
              </w:rPr>
            </w:pPr>
            <w:r>
              <w:rPr>
                <w:rFonts w:ascii="Times New Roman" w:hAnsi="Times New Roman"/>
                <w:b/>
                <w:bCs/>
                <w:kern w:val="0"/>
                <w:sz w:val="24"/>
              </w:rPr>
              <w:t>股权投资：</w:t>
            </w:r>
            <w:r>
              <w:rPr>
                <w:rFonts w:ascii="Times New Roman" w:hAnsi="Times New Roman"/>
                <w:kern w:val="0"/>
                <w:sz w:val="24"/>
              </w:rPr>
              <w:t>自建创业孵化基金，专门用于投资入库的创业孵化企业（项目），可提供东莞市私募基金业协会、东莞市上市公司协会、知名投融资机构等的对接机会。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continue"/>
            <w:vAlign w:val="center"/>
          </w:tcPr>
          <w:p>
            <w:pPr>
              <w:widowControl/>
              <w:spacing w:line="440" w:lineRule="exact"/>
              <w:jc w:val="center"/>
              <w:rPr>
                <w:rFonts w:ascii="Times New Roman" w:hAnsi="Times New Roman"/>
                <w:b/>
                <w:bCs/>
                <w:color w:val="000000"/>
                <w:kern w:val="0"/>
                <w:sz w:val="24"/>
              </w:rPr>
            </w:pPr>
          </w:p>
        </w:tc>
        <w:tc>
          <w:tcPr>
            <w:tcW w:w="8236" w:type="dxa"/>
            <w:vAlign w:val="center"/>
          </w:tcPr>
          <w:p>
            <w:pPr>
              <w:widowControl/>
              <w:spacing w:line="440" w:lineRule="exact"/>
              <w:rPr>
                <w:rFonts w:ascii="Times New Roman" w:hAnsi="Times New Roman"/>
                <w:b/>
                <w:bCs/>
                <w:kern w:val="0"/>
                <w:sz w:val="24"/>
              </w:rPr>
            </w:pPr>
            <w:r>
              <w:rPr>
                <w:rFonts w:ascii="Times New Roman" w:hAnsi="Times New Roman"/>
                <w:b/>
                <w:bCs/>
                <w:kern w:val="0"/>
                <w:sz w:val="24"/>
              </w:rPr>
              <w:t>扶持奖励：</w:t>
            </w:r>
            <w:r>
              <w:rPr>
                <w:rFonts w:hint="eastAsia" w:ascii="Times New Roman" w:hAnsi="Times New Roman"/>
                <w:kern w:val="0"/>
                <w:sz w:val="24"/>
              </w:rPr>
              <w:t>1．</w:t>
            </w:r>
            <w:r>
              <w:rPr>
                <w:rFonts w:ascii="Times New Roman" w:hAnsi="Times New Roman"/>
                <w:kern w:val="0"/>
                <w:sz w:val="24"/>
              </w:rPr>
              <w:t>项目启动资金奖励</w:t>
            </w:r>
            <w:r>
              <w:rPr>
                <w:rFonts w:hint="eastAsia" w:ascii="Times New Roman" w:hAnsi="Times New Roman"/>
                <w:kern w:val="0"/>
                <w:sz w:val="24"/>
              </w:rPr>
              <w:t>，</w:t>
            </w:r>
            <w:r>
              <w:rPr>
                <w:rFonts w:ascii="Times New Roman" w:hAnsi="Times New Roman"/>
                <w:kern w:val="0"/>
                <w:sz w:val="24"/>
              </w:rPr>
              <w:t>通过评审后一次性给予10万元启动资金奖励。</w:t>
            </w:r>
            <w:r>
              <w:rPr>
                <w:rFonts w:hint="eastAsia" w:ascii="Times New Roman" w:hAnsi="Times New Roman"/>
                <w:kern w:val="0"/>
                <w:sz w:val="24"/>
              </w:rPr>
              <w:t>2．</w:t>
            </w:r>
            <w:r>
              <w:rPr>
                <w:rFonts w:ascii="Times New Roman" w:hAnsi="Times New Roman"/>
                <w:kern w:val="0"/>
                <w:sz w:val="24"/>
              </w:rPr>
              <w:t>快速成长奖励</w:t>
            </w:r>
            <w:r>
              <w:rPr>
                <w:rFonts w:hint="eastAsia" w:ascii="Times New Roman" w:hAnsi="Times New Roman"/>
                <w:kern w:val="0"/>
                <w:sz w:val="24"/>
              </w:rPr>
              <w:t>，</w:t>
            </w:r>
            <w:r>
              <w:rPr>
                <w:rFonts w:ascii="Times New Roman" w:hAnsi="Times New Roman"/>
                <w:kern w:val="0"/>
                <w:sz w:val="24"/>
              </w:rPr>
              <w:t>通过评审后一次性给予50万元快速成长奖励。</w:t>
            </w:r>
            <w:r>
              <w:rPr>
                <w:rFonts w:hint="eastAsia" w:ascii="Times New Roman" w:hAnsi="Times New Roman"/>
                <w:kern w:val="0"/>
                <w:sz w:val="24"/>
              </w:rPr>
              <w:t>3．</w:t>
            </w:r>
            <w:r>
              <w:rPr>
                <w:rFonts w:ascii="Times New Roman" w:hAnsi="Times New Roman"/>
                <w:kern w:val="0"/>
                <w:sz w:val="24"/>
              </w:rPr>
              <w:t>发展成效奖励</w:t>
            </w:r>
            <w:r>
              <w:rPr>
                <w:rFonts w:hint="eastAsia" w:ascii="Times New Roman" w:hAnsi="Times New Roman"/>
                <w:kern w:val="0"/>
                <w:sz w:val="24"/>
              </w:rPr>
              <w:t>，</w:t>
            </w:r>
            <w:r>
              <w:rPr>
                <w:rFonts w:ascii="Times New Roman" w:hAnsi="Times New Roman"/>
                <w:kern w:val="0"/>
                <w:sz w:val="24"/>
              </w:rPr>
              <w:t>通过评审后一次性给予100万元快速成长奖励。</w:t>
            </w:r>
            <w:r>
              <w:rPr>
                <w:rFonts w:hint="eastAsia" w:ascii="Times New Roman" w:hAnsi="Times New Roman"/>
                <w:kern w:val="0"/>
                <w:sz w:val="24"/>
              </w:rPr>
              <w:t>4．</w:t>
            </w:r>
            <w:r>
              <w:rPr>
                <w:rFonts w:ascii="Times New Roman" w:hAnsi="Times New Roman"/>
                <w:kern w:val="0"/>
                <w:sz w:val="24"/>
              </w:rPr>
              <w:t>政府资助配套奖励。创业企业在基地注册成立且正常经营1年以上，以在基地注册的企业为申报主体且</w:t>
            </w:r>
            <w:r>
              <w:rPr>
                <w:rFonts w:hint="eastAsia" w:ascii="Times New Roman" w:hAnsi="Times New Roman"/>
                <w:kern w:val="0"/>
                <w:sz w:val="24"/>
              </w:rPr>
              <w:t>有关条件</w:t>
            </w:r>
            <w:r>
              <w:rPr>
                <w:rFonts w:ascii="Times New Roman" w:hAnsi="Times New Roman"/>
                <w:kern w:val="0"/>
                <w:sz w:val="24"/>
              </w:rPr>
              <w:t>的，按照资助资金给予1:1配套奖励，奖励资金最高不超过100万元</w:t>
            </w:r>
            <w:r>
              <w:rPr>
                <w:rFonts w:hint="eastAsia" w:ascii="Times New Roman" w:hAnsi="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0" w:type="dxa"/>
            <w:gridSpan w:val="2"/>
            <w:vAlign w:val="center"/>
          </w:tcPr>
          <w:p>
            <w:pPr>
              <w:widowControl/>
              <w:spacing w:line="440" w:lineRule="exact"/>
              <w:jc w:val="center"/>
              <w:rPr>
                <w:rFonts w:ascii="Times New Roman" w:hAnsi="Times New Roman"/>
                <w:b/>
                <w:bCs/>
                <w:color w:val="000000"/>
                <w:kern w:val="0"/>
                <w:sz w:val="30"/>
                <w:szCs w:val="30"/>
              </w:rPr>
            </w:pPr>
            <w:r>
              <w:rPr>
                <w:rFonts w:hint="eastAsia" w:ascii="Times New Roman" w:hAnsi="Times New Roman"/>
                <w:b/>
                <w:bCs/>
                <w:color w:val="000000"/>
                <w:kern w:val="0"/>
                <w:sz w:val="28"/>
                <w:szCs w:val="28"/>
              </w:rPr>
              <w:t>电子科技大学广东电子信息工程研究院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36" w:type="dxa"/>
            <w:vAlign w:val="center"/>
          </w:tcPr>
          <w:p>
            <w:pPr>
              <w:widowControl/>
              <w:spacing w:line="440" w:lineRule="exact"/>
              <w:ind w:firstLine="480" w:firstLineChars="200"/>
              <w:rPr>
                <w:rFonts w:ascii="Times New Roman" w:hAnsi="Times New Roman"/>
                <w:b/>
                <w:bCs/>
                <w:color w:val="FF0000"/>
                <w:kern w:val="0"/>
                <w:sz w:val="24"/>
              </w:rPr>
            </w:pPr>
            <w:r>
              <w:rPr>
                <w:rFonts w:ascii="Times New Roman" w:hAnsi="Times New Roman"/>
                <w:kern w:val="0"/>
                <w:sz w:val="24"/>
              </w:rPr>
              <w:t>电子科技大学广东电子信息工程研究院（简称“电研院”）于2007年8月17日由东莞市人民政府、广东省科技厅和电子科技大学联合共建，是广东省部产学研合作创新平台，获认定为国家技术转移示范机构、国家级科技企业孵化器、国家级众创空间。电研院为逾万家企业提供了高端技术服务，助推东莞电子信息产业由“加工型集群”迈向“创造型集群”。以“技术+资本”为模式，累计培育高科技企业近200家（含持股40余家），其中创业板上市企业1家、科创板上市企业2家、上市后备企业3家、高新技术企业50余家。培育国家高企50余家。此外还设立了网络空间安全产业基金、高端电⼦信息产业基金，基金总规模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widowControl/>
              <w:spacing w:line="440" w:lineRule="exact"/>
              <w:jc w:val="center"/>
              <w:rPr>
                <w:rFonts w:ascii="Times New Roman" w:hAnsi="Times New Roman"/>
                <w:color w:val="000000"/>
                <w:kern w:val="0"/>
                <w:sz w:val="24"/>
              </w:rPr>
            </w:pPr>
            <w:r>
              <w:rPr>
                <w:rFonts w:ascii="Times New Roman" w:hAnsi="Times New Roman"/>
                <w:b/>
                <w:bCs/>
                <w:color w:val="000000"/>
                <w:kern w:val="0"/>
                <w:sz w:val="24"/>
              </w:rPr>
              <w:t>扶持措施</w:t>
            </w:r>
          </w:p>
        </w:tc>
        <w:tc>
          <w:tcPr>
            <w:tcW w:w="8236" w:type="dxa"/>
            <w:noWrap/>
            <w:vAlign w:val="center"/>
          </w:tcPr>
          <w:p>
            <w:pPr>
              <w:widowControl/>
              <w:spacing w:line="440" w:lineRule="exact"/>
              <w:jc w:val="left"/>
              <w:rPr>
                <w:rFonts w:ascii="Times New Roman" w:hAnsi="Times New Roman"/>
                <w:kern w:val="0"/>
                <w:sz w:val="24"/>
              </w:rPr>
            </w:pPr>
            <w:r>
              <w:rPr>
                <w:rFonts w:ascii="Times New Roman" w:hAnsi="Times New Roman"/>
                <w:b/>
                <w:bCs/>
                <w:kern w:val="0"/>
                <w:sz w:val="24"/>
              </w:rPr>
              <w:t>租金优惠：</w:t>
            </w:r>
            <w:r>
              <w:rPr>
                <w:rFonts w:ascii="Times New Roman" w:hAnsi="Times New Roman"/>
                <w:kern w:val="0"/>
                <w:sz w:val="24"/>
              </w:rPr>
              <w:t>1</w:t>
            </w:r>
            <w:r>
              <w:rPr>
                <w:rFonts w:ascii="Times New Roman" w:hAnsi="Times New Roman"/>
                <w:kern w:val="0"/>
                <w:sz w:val="24"/>
                <w:lang w:val="en"/>
              </w:rPr>
              <w:t>．</w:t>
            </w:r>
            <w:r>
              <w:rPr>
                <w:rFonts w:ascii="Times New Roman" w:hAnsi="Times New Roman"/>
                <w:kern w:val="0"/>
                <w:sz w:val="24"/>
              </w:rPr>
              <w:t>对于入驻项目，经评估给予最多24个月的免租期；2</w:t>
            </w:r>
            <w:r>
              <w:rPr>
                <w:rFonts w:ascii="Times New Roman" w:hAnsi="Times New Roman"/>
                <w:kern w:val="0"/>
                <w:sz w:val="24"/>
                <w:lang w:val="en"/>
              </w:rPr>
              <w:t>．</w:t>
            </w:r>
            <w:r>
              <w:rPr>
                <w:rFonts w:ascii="Times New Roman" w:hAnsi="Times New Roman"/>
                <w:kern w:val="0"/>
                <w:sz w:val="24"/>
              </w:rPr>
              <w:t>对于入驻项目，给予物业管理费减免。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36" w:type="dxa"/>
            <w:noWrap/>
            <w:vAlign w:val="center"/>
          </w:tcPr>
          <w:p>
            <w:pPr>
              <w:widowControl/>
              <w:spacing w:line="440" w:lineRule="exact"/>
              <w:jc w:val="left"/>
              <w:rPr>
                <w:rFonts w:ascii="Times New Roman" w:hAnsi="Times New Roman"/>
                <w:kern w:val="0"/>
                <w:sz w:val="24"/>
              </w:rPr>
            </w:pPr>
            <w:r>
              <w:rPr>
                <w:rFonts w:ascii="Times New Roman" w:hAnsi="Times New Roman"/>
                <w:b/>
                <w:bCs/>
                <w:kern w:val="0"/>
                <w:sz w:val="24"/>
              </w:rPr>
              <w:t>资源对接：</w:t>
            </w:r>
            <w:r>
              <w:rPr>
                <w:rFonts w:ascii="Times New Roman" w:hAnsi="Times New Roman"/>
                <w:kern w:val="0"/>
                <w:sz w:val="24"/>
                <w:lang w:val="en"/>
              </w:rPr>
              <w:t>1．</w:t>
            </w:r>
            <w:r>
              <w:rPr>
                <w:rFonts w:hint="eastAsia" w:ascii="Times New Roman" w:hAnsi="Times New Roman"/>
                <w:kern w:val="0"/>
                <w:sz w:val="24"/>
                <w:lang w:val="en"/>
              </w:rPr>
              <w:t>资本资源：设</w:t>
            </w:r>
            <w:r>
              <w:rPr>
                <w:rFonts w:ascii="Times New Roman" w:hAnsi="Times New Roman"/>
                <w:kern w:val="0"/>
                <w:sz w:val="24"/>
              </w:rPr>
              <w:t>有自有种子资金和产业基金，并整合</w:t>
            </w:r>
            <w:r>
              <w:rPr>
                <w:rFonts w:hint="eastAsia" w:ascii="Times New Roman" w:hAnsi="Times New Roman"/>
                <w:kern w:val="0"/>
                <w:sz w:val="24"/>
              </w:rPr>
              <w:t>各类</w:t>
            </w:r>
            <w:r>
              <w:rPr>
                <w:rFonts w:ascii="Times New Roman" w:hAnsi="Times New Roman"/>
                <w:kern w:val="0"/>
                <w:sz w:val="24"/>
              </w:rPr>
              <w:t>金融资源，协助企业解决融资问题；2</w:t>
            </w:r>
            <w:r>
              <w:rPr>
                <w:rFonts w:ascii="Times New Roman" w:hAnsi="Times New Roman"/>
                <w:kern w:val="0"/>
                <w:sz w:val="24"/>
                <w:lang w:val="en"/>
              </w:rPr>
              <w:t>．</w:t>
            </w:r>
            <w:r>
              <w:rPr>
                <w:rFonts w:ascii="Times New Roman" w:hAnsi="Times New Roman"/>
                <w:kern w:val="0"/>
                <w:sz w:val="24"/>
              </w:rPr>
              <w:t>人才资源：</w:t>
            </w:r>
            <w:r>
              <w:rPr>
                <w:rFonts w:hint="eastAsia" w:ascii="Times New Roman" w:hAnsi="Times New Roman"/>
                <w:kern w:val="0"/>
                <w:sz w:val="24"/>
              </w:rPr>
              <w:t>组</w:t>
            </w:r>
            <w:r>
              <w:rPr>
                <w:rFonts w:ascii="Times New Roman" w:hAnsi="Times New Roman"/>
                <w:kern w:val="0"/>
                <w:sz w:val="24"/>
              </w:rPr>
              <w:t>建了覆盖技术专家、学术带头人、投资专家、创业企业家、战略管理专家在内的全方位的创新创业导师和专家40余名创业导师团队；3</w:t>
            </w:r>
            <w:r>
              <w:rPr>
                <w:rFonts w:ascii="Times New Roman" w:hAnsi="Times New Roman"/>
                <w:kern w:val="0"/>
                <w:sz w:val="24"/>
                <w:lang w:val="en"/>
              </w:rPr>
              <w:t>．</w:t>
            </w:r>
            <w:r>
              <w:rPr>
                <w:rFonts w:ascii="Times New Roman" w:hAnsi="Times New Roman"/>
                <w:kern w:val="0"/>
                <w:sz w:val="24"/>
              </w:rPr>
              <w:t>产业资源：协助企业对接电子科技大学校友会、中国网络空间安全协会、中国云安全与新兴技术安全创新联盟、中国软件行业协会军民融合分会、车载信息服务产业应用联盟、东莞市高新技术产业协会以及电子科大校友企业等；4</w:t>
            </w:r>
            <w:r>
              <w:rPr>
                <w:rFonts w:ascii="Times New Roman" w:hAnsi="Times New Roman"/>
                <w:kern w:val="0"/>
                <w:sz w:val="24"/>
                <w:lang w:val="en"/>
              </w:rPr>
              <w:t>．</w:t>
            </w:r>
            <w:r>
              <w:rPr>
                <w:rFonts w:ascii="Times New Roman" w:hAnsi="Times New Roman"/>
                <w:kern w:val="0"/>
                <w:sz w:val="24"/>
              </w:rPr>
              <w:t>科研资源：依托电子科大，整合</w:t>
            </w:r>
            <w:r>
              <w:rPr>
                <w:rFonts w:hint="eastAsia" w:ascii="Times New Roman" w:hAnsi="Times New Roman"/>
                <w:kern w:val="0"/>
                <w:sz w:val="24"/>
              </w:rPr>
              <w:t>多所</w:t>
            </w:r>
            <w:r>
              <w:rPr>
                <w:rFonts w:ascii="Times New Roman" w:hAnsi="Times New Roman"/>
                <w:kern w:val="0"/>
                <w:sz w:val="24"/>
              </w:rPr>
              <w:t>高校资源</w:t>
            </w:r>
            <w:r>
              <w:rPr>
                <w:rFonts w:hint="eastAsia" w:ascii="Times New Roman" w:hAnsi="Times New Roman"/>
                <w:kern w:val="0"/>
                <w:sz w:val="24"/>
              </w:rPr>
              <w:t>，</w:t>
            </w:r>
            <w:r>
              <w:rPr>
                <w:rFonts w:ascii="Times New Roman" w:hAnsi="Times New Roman"/>
                <w:kern w:val="0"/>
                <w:sz w:val="24"/>
              </w:rPr>
              <w:t>搭建了11个公共实验室和公共技术服务平台，解决产业发展中的“卡脖子”问题；5</w:t>
            </w:r>
            <w:r>
              <w:rPr>
                <w:rFonts w:ascii="Times New Roman" w:hAnsi="Times New Roman"/>
                <w:kern w:val="0"/>
                <w:sz w:val="24"/>
                <w:lang w:val="en"/>
              </w:rPr>
              <w:t>．</w:t>
            </w:r>
            <w:r>
              <w:rPr>
                <w:rFonts w:ascii="Times New Roman" w:hAnsi="Times New Roman"/>
                <w:kern w:val="0"/>
                <w:sz w:val="24"/>
              </w:rPr>
              <w:t>创新资源：建设了“政策大数据平台”，基于“互联网+科技服务”模式，降低企业科技创新成本，实现产业创新要素的无缝对接。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36" w:type="dxa"/>
            <w:noWrap/>
            <w:vAlign w:val="center"/>
          </w:tcPr>
          <w:p>
            <w:pPr>
              <w:widowControl/>
              <w:spacing w:line="440" w:lineRule="exact"/>
              <w:jc w:val="left"/>
              <w:rPr>
                <w:rFonts w:ascii="Times New Roman" w:hAnsi="Times New Roman"/>
                <w:kern w:val="0"/>
                <w:sz w:val="24"/>
              </w:rPr>
            </w:pPr>
            <w:r>
              <w:rPr>
                <w:rFonts w:ascii="Times New Roman" w:hAnsi="Times New Roman"/>
                <w:b/>
                <w:bCs/>
                <w:kern w:val="0"/>
                <w:sz w:val="24"/>
              </w:rPr>
              <w:t>股权投资：</w:t>
            </w:r>
            <w:r>
              <w:rPr>
                <w:rFonts w:ascii="Times New Roman" w:hAnsi="Times New Roman"/>
                <w:kern w:val="0"/>
                <w:sz w:val="24"/>
              </w:rPr>
              <w:t>1</w:t>
            </w:r>
            <w:r>
              <w:rPr>
                <w:rFonts w:ascii="Times New Roman" w:hAnsi="Times New Roman"/>
                <w:kern w:val="0"/>
                <w:sz w:val="24"/>
                <w:lang w:val="en"/>
              </w:rPr>
              <w:t>．</w:t>
            </w:r>
            <w:r>
              <w:rPr>
                <w:rFonts w:ascii="Times New Roman" w:hAnsi="Times New Roman"/>
                <w:kern w:val="0"/>
                <w:sz w:val="24"/>
              </w:rPr>
              <w:t>以研究院自有资金进行股权投资；</w:t>
            </w:r>
            <w:r>
              <w:rPr>
                <w:rFonts w:ascii="Times New Roman" w:hAnsi="Times New Roman"/>
                <w:kern w:val="0"/>
                <w:sz w:val="24"/>
                <w:lang w:val="en"/>
              </w:rPr>
              <w:t>2.</w:t>
            </w:r>
            <w:r>
              <w:rPr>
                <w:rFonts w:ascii="Times New Roman" w:hAnsi="Times New Roman"/>
                <w:kern w:val="0"/>
                <w:sz w:val="24"/>
              </w:rPr>
              <w:t>以产业投资天使基金机型股权投资。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36" w:type="dxa"/>
            <w:noWrap/>
            <w:vAlign w:val="center"/>
          </w:tcPr>
          <w:p>
            <w:pPr>
              <w:widowControl/>
              <w:spacing w:line="440" w:lineRule="exact"/>
              <w:jc w:val="left"/>
              <w:rPr>
                <w:rFonts w:ascii="Times New Roman" w:hAnsi="Times New Roman"/>
                <w:color w:val="FF0000"/>
                <w:kern w:val="0"/>
                <w:sz w:val="24"/>
                <w:lang w:val="en"/>
              </w:rPr>
            </w:pPr>
            <w:r>
              <w:rPr>
                <w:rFonts w:hint="eastAsia" w:ascii="Times New Roman" w:hAnsi="Times New Roman"/>
                <w:b/>
                <w:bCs/>
                <w:kern w:val="0"/>
                <w:sz w:val="24"/>
                <w:lang w:val="en"/>
              </w:rPr>
              <w:t>其他</w:t>
            </w:r>
            <w:r>
              <w:rPr>
                <w:rFonts w:ascii="Times New Roman" w:hAnsi="Times New Roman"/>
                <w:b/>
                <w:bCs/>
                <w:kern w:val="0"/>
                <w:sz w:val="24"/>
                <w:lang w:val="en"/>
              </w:rPr>
              <w:t>：</w:t>
            </w:r>
            <w:r>
              <w:rPr>
                <w:rFonts w:ascii="Times New Roman" w:hAnsi="Times New Roman"/>
                <w:kern w:val="0"/>
                <w:sz w:val="24"/>
                <w:lang w:val="en"/>
              </w:rPr>
              <w:t>已建成“成电创新众创空间”（自建：国家备案众创空间）—“成电创新孵化器”（自建：国家级孵化器）-“加速器”（共建）的完整创业孵化链条，形成创业项目从前沿研究、开发、成果转化到产业化培育、孵化、加速的一个完整的产业培育链条。</w:t>
            </w:r>
          </w:p>
        </w:tc>
      </w:tr>
    </w:tbl>
    <w:p>
      <w:pPr>
        <w:rPr>
          <w:rFonts w:ascii="Times New Roman" w:hAnsi="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vAlign w:val="center"/>
          </w:tcPr>
          <w:p>
            <w:pPr>
              <w:widowControl/>
              <w:spacing w:line="440" w:lineRule="exact"/>
              <w:jc w:val="center"/>
              <w:rPr>
                <w:rFonts w:ascii="Times New Roman" w:hAnsi="Times New Roman"/>
                <w:b/>
                <w:bCs/>
                <w:color w:val="000000"/>
                <w:kern w:val="0"/>
                <w:sz w:val="30"/>
                <w:szCs w:val="30"/>
              </w:rPr>
            </w:pPr>
            <w:r>
              <w:rPr>
                <w:rFonts w:hint="eastAsia" w:ascii="Times New Roman" w:hAnsi="Times New Roman"/>
                <w:b/>
                <w:bCs/>
                <w:color w:val="000000"/>
                <w:kern w:val="0"/>
                <w:sz w:val="28"/>
                <w:szCs w:val="28"/>
              </w:rPr>
              <w:t>东莞市三航军民融合创新研究院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22" w:type="dxa"/>
            <w:vAlign w:val="center"/>
          </w:tcPr>
          <w:p>
            <w:pPr>
              <w:widowControl/>
              <w:spacing w:line="440" w:lineRule="exact"/>
              <w:ind w:firstLine="480" w:firstLineChars="200"/>
              <w:rPr>
                <w:rFonts w:ascii="Times New Roman" w:hAnsi="Times New Roman"/>
                <w:b/>
                <w:bCs/>
                <w:color w:val="FF0000"/>
                <w:kern w:val="0"/>
                <w:sz w:val="24"/>
              </w:rPr>
            </w:pPr>
            <w:r>
              <w:rPr>
                <w:rFonts w:ascii="Times New Roman" w:hAnsi="Times New Roman"/>
                <w:kern w:val="0"/>
                <w:sz w:val="24"/>
              </w:rPr>
              <w:t>东莞市三航军民融合创新研究院是依托西北工业大学成立的广东省新型研发机构，位于松山湖高新区，建有“东莞市知识产权军民融合运营平台”、“东莞市西北工业大学军民融合技术转移中心”，2021年荣获“东莞市示范型科技服务机构”称号。三航研究院重点围绕新一代信息技术、高端装备制造、新材料等领域产业发展需求，开展技术研发、成果转化、企业孵化和产业服务，并成立“三航产业基金”，推动先进技术成果“军转民”、“民参军”双向转化应用，助力东莞科技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widowControl/>
              <w:spacing w:line="440" w:lineRule="exact"/>
              <w:jc w:val="center"/>
              <w:rPr>
                <w:rFonts w:ascii="Times New Roman" w:hAnsi="Times New Roman"/>
                <w:color w:val="000000"/>
                <w:kern w:val="0"/>
                <w:sz w:val="24"/>
              </w:rPr>
            </w:pPr>
            <w:r>
              <w:rPr>
                <w:rFonts w:ascii="Times New Roman" w:hAnsi="Times New Roman"/>
                <w:b/>
                <w:bCs/>
                <w:color w:val="000000"/>
                <w:kern w:val="0"/>
                <w:sz w:val="24"/>
              </w:rPr>
              <w:t>扶持措施</w:t>
            </w:r>
          </w:p>
        </w:tc>
        <w:tc>
          <w:tcPr>
            <w:tcW w:w="8222" w:type="dxa"/>
            <w:noWrap/>
            <w:vAlign w:val="center"/>
          </w:tcPr>
          <w:p>
            <w:pPr>
              <w:widowControl/>
              <w:spacing w:line="440" w:lineRule="exact"/>
              <w:jc w:val="left"/>
              <w:rPr>
                <w:rFonts w:ascii="Times New Roman" w:hAnsi="Times New Roman"/>
                <w:kern w:val="0"/>
                <w:sz w:val="24"/>
              </w:rPr>
            </w:pPr>
            <w:r>
              <w:rPr>
                <w:rFonts w:ascii="Times New Roman" w:hAnsi="Times New Roman"/>
                <w:b/>
                <w:bCs/>
                <w:kern w:val="0"/>
                <w:sz w:val="24"/>
              </w:rPr>
              <w:t>租金优惠：</w:t>
            </w:r>
            <w:r>
              <w:rPr>
                <w:rFonts w:ascii="Times New Roman" w:hAnsi="Times New Roman"/>
                <w:kern w:val="0"/>
                <w:sz w:val="24"/>
              </w:rPr>
              <w:t>根据项目水平和股权关系，可享受相应租金减免、先租后补、以租入股等优惠</w:t>
            </w:r>
            <w:r>
              <w:rPr>
                <w:rFonts w:hint="eastAsia" w:ascii="Times New Roman" w:hAnsi="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22" w:type="dxa"/>
            <w:noWrap/>
            <w:vAlign w:val="center"/>
          </w:tcPr>
          <w:p>
            <w:pPr>
              <w:widowControl/>
              <w:spacing w:line="440" w:lineRule="exact"/>
              <w:jc w:val="left"/>
              <w:rPr>
                <w:rFonts w:ascii="Times New Roman" w:hAnsi="Times New Roman"/>
                <w:kern w:val="0"/>
                <w:sz w:val="24"/>
              </w:rPr>
            </w:pPr>
            <w:r>
              <w:rPr>
                <w:rFonts w:ascii="Times New Roman" w:hAnsi="Times New Roman"/>
                <w:b/>
                <w:bCs/>
                <w:kern w:val="0"/>
                <w:sz w:val="24"/>
              </w:rPr>
              <w:t>资源对接：</w:t>
            </w:r>
            <w:r>
              <w:rPr>
                <w:rFonts w:ascii="Times New Roman" w:hAnsi="Times New Roman"/>
                <w:kern w:val="0"/>
                <w:sz w:val="24"/>
              </w:rPr>
              <w:t>为创新创业团队对接政府政策、投融资、市场客户、供应链、产业圈层等资源合作</w:t>
            </w:r>
            <w:r>
              <w:rPr>
                <w:rFonts w:hint="eastAsia" w:ascii="Times New Roman" w:hAnsi="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22" w:type="dxa"/>
            <w:noWrap/>
            <w:vAlign w:val="center"/>
          </w:tcPr>
          <w:p>
            <w:pPr>
              <w:widowControl/>
              <w:spacing w:line="440" w:lineRule="exact"/>
              <w:jc w:val="left"/>
              <w:rPr>
                <w:rFonts w:ascii="Times New Roman" w:hAnsi="Times New Roman"/>
                <w:kern w:val="0"/>
                <w:sz w:val="24"/>
              </w:rPr>
            </w:pPr>
            <w:r>
              <w:rPr>
                <w:rFonts w:ascii="Times New Roman" w:hAnsi="Times New Roman"/>
                <w:b/>
                <w:bCs/>
                <w:kern w:val="0"/>
                <w:sz w:val="24"/>
              </w:rPr>
              <w:t>股权投资：</w:t>
            </w:r>
            <w:r>
              <w:rPr>
                <w:rFonts w:ascii="Times New Roman" w:hAnsi="Times New Roman"/>
                <w:kern w:val="0"/>
                <w:sz w:val="24"/>
              </w:rPr>
              <w:t>根据项目水平和成长阶段，提供社会资本“天使→VC→PE”的全链条股权投资，为企业提供投融资设计和咨询</w:t>
            </w:r>
            <w:r>
              <w:rPr>
                <w:rFonts w:hint="eastAsia" w:ascii="Times New Roman" w:hAnsi="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22" w:type="dxa"/>
            <w:noWrap/>
            <w:vAlign w:val="center"/>
          </w:tcPr>
          <w:p>
            <w:pPr>
              <w:widowControl/>
              <w:spacing w:line="440" w:lineRule="exact"/>
              <w:jc w:val="left"/>
              <w:rPr>
                <w:rFonts w:ascii="Times New Roman" w:hAnsi="Times New Roman"/>
                <w:b/>
                <w:bCs/>
                <w:kern w:val="0"/>
                <w:sz w:val="24"/>
              </w:rPr>
            </w:pPr>
            <w:r>
              <w:rPr>
                <w:rFonts w:hint="eastAsia" w:ascii="Times New Roman" w:hAnsi="Times New Roman"/>
                <w:b/>
                <w:bCs/>
                <w:kern w:val="0"/>
                <w:sz w:val="24"/>
              </w:rPr>
              <w:t>扶持奖励：</w:t>
            </w:r>
            <w:r>
              <w:rPr>
                <w:rFonts w:hint="eastAsia" w:ascii="Times New Roman" w:hAnsi="Times New Roman"/>
                <w:kern w:val="0"/>
                <w:sz w:val="24"/>
              </w:rPr>
              <w:t>根据项目发展情况，研究院可提供种子孵化，提供部分启动资金，共建实验室或工程中心，提供研发设备、场地等扶持；高端人才聘为研究院科研人员，享受创新创业政策，进行“一事一议”服务支持。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widowControl/>
              <w:spacing w:line="440" w:lineRule="exact"/>
              <w:jc w:val="center"/>
              <w:rPr>
                <w:rFonts w:ascii="Times New Roman" w:hAnsi="Times New Roman"/>
                <w:color w:val="000000"/>
                <w:kern w:val="0"/>
                <w:sz w:val="24"/>
              </w:rPr>
            </w:pPr>
          </w:p>
        </w:tc>
        <w:tc>
          <w:tcPr>
            <w:tcW w:w="8222" w:type="dxa"/>
            <w:noWrap/>
            <w:vAlign w:val="center"/>
          </w:tcPr>
          <w:p>
            <w:pPr>
              <w:widowControl/>
              <w:spacing w:line="440" w:lineRule="exact"/>
              <w:jc w:val="left"/>
              <w:rPr>
                <w:rFonts w:ascii="Times New Roman" w:hAnsi="Times New Roman"/>
                <w:color w:val="FF0000"/>
                <w:kern w:val="0"/>
                <w:sz w:val="24"/>
                <w:lang w:val="en"/>
              </w:rPr>
            </w:pPr>
            <w:r>
              <w:rPr>
                <w:rFonts w:hint="eastAsia" w:ascii="Times New Roman" w:hAnsi="Times New Roman"/>
                <w:b/>
                <w:bCs/>
                <w:kern w:val="0"/>
                <w:sz w:val="24"/>
                <w:lang w:val="en"/>
              </w:rPr>
              <w:t>其他</w:t>
            </w:r>
            <w:r>
              <w:rPr>
                <w:rFonts w:ascii="Times New Roman" w:hAnsi="Times New Roman"/>
                <w:b/>
                <w:bCs/>
                <w:kern w:val="0"/>
                <w:sz w:val="24"/>
                <w:lang w:val="en"/>
              </w:rPr>
              <w:t>：</w:t>
            </w:r>
            <w:r>
              <w:rPr>
                <w:rFonts w:ascii="Times New Roman" w:hAnsi="Times New Roman"/>
                <w:kern w:val="0"/>
                <w:sz w:val="24"/>
                <w:lang w:val="en"/>
              </w:rPr>
              <w:t>为项目团队提供工商、财税、法律、知识产权、管理咨询、创业培训、商务合作、高校技术/专家/人才等孵化服务，根据项目提供定制化服务</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4"/>
        <w:tblpPr w:leftFromText="180" w:rightFromText="180" w:vertAnchor="text" w:horzAnchor="page" w:tblpX="1425" w:tblpY="18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94" w:type="dxa"/>
            <w:gridSpan w:val="2"/>
            <w:vAlign w:val="center"/>
          </w:tcPr>
          <w:p>
            <w:pPr>
              <w:widowControl/>
              <w:spacing w:line="440" w:lineRule="exact"/>
              <w:jc w:val="center"/>
              <w:rPr>
                <w:rFonts w:ascii="Times New Roman" w:hAnsi="Times New Roman"/>
                <w:b/>
                <w:bCs/>
                <w:color w:val="000000"/>
                <w:kern w:val="0"/>
                <w:sz w:val="30"/>
                <w:szCs w:val="30"/>
              </w:rPr>
            </w:pPr>
            <w:r>
              <w:rPr>
                <w:rFonts w:hint="eastAsia" w:ascii="Times New Roman" w:hAnsi="Times New Roman"/>
                <w:b/>
                <w:bCs/>
                <w:color w:val="000000"/>
                <w:kern w:val="0"/>
                <w:sz w:val="28"/>
                <w:szCs w:val="28"/>
              </w:rPr>
              <w:t>粤港澳大湾区科技领军人才创新驱动中心（东莞）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50" w:type="dxa"/>
            <w:vAlign w:val="center"/>
          </w:tcPr>
          <w:p>
            <w:pPr>
              <w:widowControl/>
              <w:spacing w:line="440" w:lineRule="exact"/>
              <w:rPr>
                <w:rFonts w:ascii="Times New Roman" w:hAnsi="Times New Roman"/>
                <w:b/>
                <w:bCs/>
                <w:color w:val="FF0000"/>
                <w:kern w:val="0"/>
                <w:sz w:val="24"/>
              </w:rPr>
            </w:pPr>
            <w:r>
              <w:rPr>
                <w:rFonts w:ascii="Times New Roman" w:hAnsi="Times New Roman"/>
                <w:kern w:val="0"/>
                <w:sz w:val="24"/>
              </w:rPr>
              <w:t>粤港澳大湾区科技领军人才创新驱动中心（东莞）是科技部人才中心和东莞市共同打造的汇智集才服务平台，旨在围绕产业链、强化创新链、构建人才链，以松山湖国际创新创业社区为运营载体，重点开展战略规划咨询、技术难题攻关、人才项目评估评价等工作。作为粤港澳大湾区首个科技人才驱动中心，东莞驱动中心深度协同科技部人才中心资源，紧紧围绕东莞“科技创新+先进制造”的城市定位，建立了国内外高校、机构创新资源和专家人才信息名录，以重大需求牵引创新人才引进对接工作；通过实施中科院科技服务网络计划—东莞专项（STS专项），为来莞人才对接空间场地、融资渠道、市场渠道等，加快创新成果大规模商用进程；采取科技人才伙伴计划等，加强高层次人才与粤港澳大湾区产业的对接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p>
        </w:tc>
        <w:tc>
          <w:tcPr>
            <w:tcW w:w="8250" w:type="dxa"/>
            <w:vAlign w:val="center"/>
          </w:tcPr>
          <w:p>
            <w:pPr>
              <w:widowControl/>
              <w:spacing w:line="440" w:lineRule="exact"/>
              <w:rPr>
                <w:rFonts w:ascii="Times New Roman" w:hAnsi="Times New Roman"/>
                <w:kern w:val="0"/>
                <w:sz w:val="24"/>
              </w:rPr>
            </w:pPr>
            <w:r>
              <w:rPr>
                <w:rFonts w:ascii="Times New Roman" w:hAnsi="Times New Roman"/>
                <w:b/>
                <w:bCs/>
                <w:kern w:val="0"/>
                <w:sz w:val="24"/>
              </w:rPr>
              <w:t>资源对接：</w:t>
            </w:r>
            <w:r>
              <w:rPr>
                <w:rFonts w:ascii="Times New Roman" w:hAnsi="Times New Roman"/>
                <w:kern w:val="0"/>
                <w:sz w:val="24"/>
              </w:rPr>
              <w:t>1．对接香港科技园、澳门科技协进会等资源，提供国际化的技术对接交流和人才联合培养等服务；2．对接科技部人才中心10万名国家级高层次专家库、1000余名科技创新创业导师库、260余个创新人才培养示范基地等资源，提供技术对接与诊断、创业辅导、项目评估评审、人才培养等服务；3．组建样机快速开发联盟，为科技创新创业团队提供生产工艺研究开发、快速打样和小批量生产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p>
        </w:tc>
        <w:tc>
          <w:tcPr>
            <w:tcW w:w="8250" w:type="dxa"/>
            <w:vAlign w:val="center"/>
          </w:tcPr>
          <w:p>
            <w:pPr>
              <w:widowControl/>
              <w:spacing w:line="440" w:lineRule="exact"/>
              <w:rPr>
                <w:rFonts w:ascii="Times New Roman" w:hAnsi="Times New Roman"/>
                <w:kern w:val="0"/>
                <w:sz w:val="24"/>
              </w:rPr>
            </w:pPr>
            <w:r>
              <w:rPr>
                <w:rFonts w:hint="eastAsia" w:ascii="Times New Roman" w:hAnsi="Times New Roman"/>
                <w:kern w:val="0"/>
                <w:sz w:val="24"/>
              </w:rPr>
              <w:t>其他：</w:t>
            </w:r>
            <w:r>
              <w:rPr>
                <w:rFonts w:ascii="Times New Roman" w:hAnsi="Times New Roman"/>
                <w:kern w:val="0"/>
                <w:sz w:val="24"/>
              </w:rPr>
              <w:t>1．提供科技咨询：提供以技术创新为核心的整体解决方案，导入人才、资本、资源为企业赋能，提升企业所在产业生态地位，强化与管理企业的科创属性</w:t>
            </w:r>
            <w:r>
              <w:rPr>
                <w:rFonts w:hint="eastAsia" w:ascii="Times New Roman" w:hAnsi="Times New Roman"/>
                <w:kern w:val="0"/>
                <w:sz w:val="24"/>
              </w:rPr>
              <w:t>；</w:t>
            </w:r>
            <w:r>
              <w:rPr>
                <w:rFonts w:ascii="Times New Roman" w:hAnsi="Times New Roman"/>
                <w:kern w:val="0"/>
                <w:sz w:val="24"/>
              </w:rPr>
              <w:t>2．提供政策咨询：搭建政策分析平台，通过把政策进行数字化的方式，研究分析国家、省、市相关产业和人才政策的内在逻辑，并为标的企业提供政策预警、产业方向预判等服务。</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vAlign w:val="center"/>
          </w:tcPr>
          <w:p>
            <w:pPr>
              <w:widowControl/>
              <w:spacing w:line="440" w:lineRule="exact"/>
              <w:jc w:val="center"/>
              <w:rPr>
                <w:rFonts w:ascii="Times New Roman" w:hAnsi="Times New Roman"/>
                <w:b/>
                <w:bCs/>
                <w:color w:val="000000"/>
                <w:kern w:val="0"/>
                <w:sz w:val="30"/>
                <w:szCs w:val="30"/>
              </w:rPr>
            </w:pPr>
            <w:r>
              <w:rPr>
                <w:rFonts w:hint="eastAsia" w:ascii="Times New Roman" w:hAnsi="Times New Roman"/>
                <w:b/>
                <w:bCs/>
                <w:color w:val="000000"/>
                <w:kern w:val="0"/>
                <w:sz w:val="28"/>
                <w:szCs w:val="28"/>
              </w:rPr>
              <w:t>东莞市科技人才发展促进会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22" w:type="dxa"/>
            <w:vAlign w:val="center"/>
          </w:tcPr>
          <w:p>
            <w:pPr>
              <w:widowControl/>
              <w:spacing w:line="440" w:lineRule="exact"/>
              <w:ind w:firstLine="480" w:firstLineChars="200"/>
              <w:rPr>
                <w:rFonts w:ascii="Times New Roman" w:hAnsi="Times New Roman"/>
                <w:b/>
                <w:bCs/>
                <w:color w:val="FF0000"/>
                <w:kern w:val="0"/>
                <w:sz w:val="24"/>
              </w:rPr>
            </w:pPr>
            <w:r>
              <w:rPr>
                <w:rFonts w:ascii="Times New Roman" w:hAnsi="Times New Roman"/>
                <w:kern w:val="0"/>
                <w:sz w:val="24"/>
              </w:rPr>
              <w:t>东莞市科技人才发展促进会成立于2020年8月，是东莞市科技局主管下面向全市科技人才发展促进服务的专业非营利性的社会组织，其宗旨是以科技人才价值为依归，搭建专业化科技人才服务平合，为东莞市高层次科技人才服务，加强与政府、企业及其它行业组织之间的沟通与联系，助力“湾区都市、品质东莞”建设。目前人才促进会有专职人员10余人，已承接市委组织部、市科技局、团市委、松山湖管委会等相关人才活动和人才服务。</w:t>
            </w:r>
          </w:p>
        </w:tc>
      </w:tr>
    </w:tbl>
    <w:p>
      <w:pPr>
        <w:rPr>
          <w:rFonts w:ascii="Times New Roman" w:hAnsi="Times New Roman"/>
        </w:rPr>
      </w:pPr>
    </w:p>
    <w:p>
      <w:pPr>
        <w:rPr>
          <w:rFonts w:ascii="Times New Roman" w:hAnsi="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vAlign w:val="center"/>
          </w:tcPr>
          <w:p>
            <w:pPr>
              <w:widowControl/>
              <w:spacing w:line="440" w:lineRule="exact"/>
              <w:jc w:val="center"/>
              <w:rPr>
                <w:rFonts w:ascii="Times New Roman" w:hAnsi="Times New Roman"/>
                <w:b/>
                <w:bCs/>
                <w:color w:val="000000"/>
                <w:kern w:val="0"/>
                <w:sz w:val="30"/>
                <w:szCs w:val="30"/>
              </w:rPr>
            </w:pPr>
            <w:r>
              <w:rPr>
                <w:rFonts w:hint="eastAsia" w:ascii="Times New Roman" w:hAnsi="Times New Roman"/>
                <w:b/>
                <w:bCs/>
                <w:color w:val="000000"/>
                <w:kern w:val="0"/>
                <w:sz w:val="28"/>
                <w:szCs w:val="28"/>
              </w:rPr>
              <w:t>广东院士联合会东莞中心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22" w:type="dxa"/>
            <w:vAlign w:val="center"/>
          </w:tcPr>
          <w:p>
            <w:pPr>
              <w:widowControl/>
              <w:spacing w:line="440" w:lineRule="exact"/>
              <w:ind w:firstLine="480" w:firstLineChars="200"/>
              <w:rPr>
                <w:rFonts w:ascii="Times New Roman" w:hAnsi="Times New Roman"/>
                <w:kern w:val="0"/>
                <w:sz w:val="24"/>
              </w:rPr>
            </w:pPr>
            <w:r>
              <w:rPr>
                <w:rFonts w:ascii="Times New Roman" w:hAnsi="Times New Roman"/>
                <w:kern w:val="0"/>
                <w:sz w:val="24"/>
              </w:rPr>
              <w:t>广东院士联合会（原广东院士联谊会）是由在广东工作院士和广东籍院士自主发起、院士自愿组成，经广东省人民政府批准，在广东省民政厅正式登记的全省性、联合性、非营利性科技社团，接受社团登记管理机关广东省民政厅的业务指导和监督管理。根据省府办《关于支持广东院士联谊会发展有关工作的签报》的意见，涉及到人才业务相关事宜主动接受省委组织部指导，涉及科技业务等事宜主动接受省科技厅指导。广东院士联合会的发起成立旨在团结和凝聚国内外广东籍及在广东工作院士的智慧和力量，同时以此为平台汇聚国内外高端创新要素，提升广东自主创新能力，为广东经济社会发展提供有力的科技和人才支撑。目前，广东院士联合会登记会员达到319位院士，密切联络院士超过500位。其中，港澳地区院士超过50位。</w:t>
            </w:r>
          </w:p>
          <w:p>
            <w:pPr>
              <w:widowControl/>
              <w:spacing w:line="440" w:lineRule="exact"/>
              <w:ind w:firstLine="480" w:firstLineChars="200"/>
              <w:rPr>
                <w:rFonts w:ascii="Times New Roman" w:hAnsi="Times New Roman"/>
                <w:b/>
                <w:bCs/>
                <w:color w:val="FF0000"/>
                <w:kern w:val="0"/>
                <w:sz w:val="24"/>
              </w:rPr>
            </w:pPr>
            <w:r>
              <w:rPr>
                <w:rFonts w:ascii="Times New Roman" w:hAnsi="Times New Roman"/>
                <w:kern w:val="0"/>
                <w:sz w:val="24"/>
              </w:rPr>
              <w:t>自2014年成立以来，在省委、省政府的正确领导下，在中国科学院、中国工程院的指导和帮助下，广东院士联合会积极探索院地合作新模式，构建起了“一家园两中心三个支撑四个更高”的工作格局，搭建了广东院士高峰年会、粤港澳大湾区院士峰会等高端学术交流、技术对接平台，主动汇聚国内外高端创新要素，在我省深入实施创新驱动发展战略、大力推进供给侧结构性改革、加快国家建设国家科技产业创新中心等方面发挥了重要作用，得到了省委、省政府以及中国科学院、中国工程院等主要领导的充分肯定和高度评价，赢得了院士专家广泛认可和积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vAlign w:val="center"/>
          </w:tcPr>
          <w:p>
            <w:pPr>
              <w:widowControl/>
              <w:spacing w:line="440" w:lineRule="exact"/>
              <w:jc w:val="center"/>
              <w:rPr>
                <w:rFonts w:ascii="Times New Roman" w:hAnsi="Times New Roman"/>
                <w:b/>
                <w:bCs/>
                <w:color w:val="000000"/>
                <w:kern w:val="0"/>
                <w:sz w:val="30"/>
                <w:szCs w:val="30"/>
              </w:rPr>
            </w:pPr>
            <w:r>
              <w:rPr>
                <w:rFonts w:hint="eastAsia" w:ascii="Times New Roman" w:hAnsi="Times New Roman"/>
                <w:b/>
                <w:bCs/>
                <w:color w:val="000000"/>
                <w:kern w:val="0"/>
                <w:sz w:val="28"/>
                <w:szCs w:val="28"/>
              </w:rPr>
              <w:t>东莞市私募基金协会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22" w:type="dxa"/>
            <w:vAlign w:val="center"/>
          </w:tcPr>
          <w:p>
            <w:pPr>
              <w:widowControl/>
              <w:spacing w:line="440" w:lineRule="exact"/>
              <w:ind w:firstLine="480" w:firstLineChars="200"/>
              <w:rPr>
                <w:rFonts w:ascii="Times New Roman" w:hAnsi="Times New Roman"/>
                <w:kern w:val="0"/>
                <w:sz w:val="24"/>
              </w:rPr>
            </w:pPr>
            <w:r>
              <w:rPr>
                <w:rFonts w:ascii="Times New Roman" w:hAnsi="Times New Roman"/>
                <w:kern w:val="0"/>
                <w:sz w:val="24"/>
              </w:rPr>
              <w:t>东莞市私募基金业协会是由东莞市金融工作局指导，于2017年3月在东莞市民政局注册，具有独立法人资格的非营利性社会团体。协会会员涵盖私募证券投资基金、股权投资基金、国资投资企业、银行、券商、保险、期货等金融业态及律所等服务机构，是以私募基金为纽带的综合性金融行业协会，也是目前东莞市私募基金行业唯一法定行业组织。</w:t>
            </w:r>
          </w:p>
          <w:p>
            <w:pPr>
              <w:widowControl/>
              <w:spacing w:line="440" w:lineRule="exact"/>
              <w:ind w:firstLine="240" w:firstLineChars="100"/>
              <w:rPr>
                <w:rFonts w:ascii="Times New Roman" w:hAnsi="Times New Roman"/>
                <w:b/>
                <w:bCs/>
                <w:color w:val="FF0000"/>
                <w:kern w:val="0"/>
                <w:sz w:val="24"/>
              </w:rPr>
            </w:pPr>
            <w:r>
              <w:rPr>
                <w:rFonts w:ascii="Times New Roman" w:hAnsi="Times New Roman"/>
                <w:kern w:val="0"/>
                <w:sz w:val="24"/>
              </w:rPr>
              <w:t>目前，协会会员超66家，协会管理基金超200只，总基金管理规模超600亿元。投资涵盖了物联网、医药、能源、教育、影视、电子信息、机器人、军工、智能驾驶、汽车零配件、影视、新材料、锂电池、集成电路等多个领域，并曾积极参与了国立科技、宏川智慧等东莞多家上市企业的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restart"/>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扶持措施</w:t>
            </w:r>
          </w:p>
        </w:tc>
        <w:tc>
          <w:tcPr>
            <w:tcW w:w="8222" w:type="dxa"/>
            <w:vAlign w:val="center"/>
          </w:tcPr>
          <w:p>
            <w:pPr>
              <w:widowControl/>
              <w:spacing w:line="440" w:lineRule="exact"/>
              <w:rPr>
                <w:rFonts w:ascii="Times New Roman" w:hAnsi="Times New Roman"/>
                <w:kern w:val="0"/>
                <w:sz w:val="24"/>
              </w:rPr>
            </w:pPr>
            <w:r>
              <w:rPr>
                <w:rFonts w:ascii="Times New Roman" w:hAnsi="Times New Roman"/>
                <w:b/>
                <w:bCs/>
                <w:kern w:val="0"/>
                <w:sz w:val="24"/>
              </w:rPr>
              <w:t>资源对接：</w:t>
            </w:r>
            <w:r>
              <w:rPr>
                <w:rFonts w:ascii="Times New Roman" w:hAnsi="Times New Roman"/>
                <w:kern w:val="0"/>
                <w:sz w:val="24"/>
              </w:rPr>
              <w:t>为项目对接相关的产业资源、技术人才、市场信息等</w:t>
            </w:r>
            <w:r>
              <w:rPr>
                <w:rFonts w:hint="eastAsia" w:ascii="Times New Roman" w:hAnsi="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continue"/>
            <w:vAlign w:val="center"/>
          </w:tcPr>
          <w:p>
            <w:pPr>
              <w:widowControl/>
              <w:spacing w:line="440" w:lineRule="exact"/>
              <w:jc w:val="center"/>
              <w:rPr>
                <w:rFonts w:ascii="Times New Roman" w:hAnsi="Times New Roman"/>
                <w:b/>
                <w:bCs/>
                <w:color w:val="000000"/>
                <w:kern w:val="0"/>
                <w:sz w:val="24"/>
              </w:rPr>
            </w:pPr>
          </w:p>
        </w:tc>
        <w:tc>
          <w:tcPr>
            <w:tcW w:w="8222" w:type="dxa"/>
            <w:vAlign w:val="center"/>
          </w:tcPr>
          <w:p>
            <w:pPr>
              <w:widowControl/>
              <w:spacing w:line="440" w:lineRule="exact"/>
              <w:rPr>
                <w:rFonts w:ascii="Times New Roman" w:hAnsi="Times New Roman"/>
                <w:kern w:val="0"/>
                <w:sz w:val="24"/>
                <w:lang w:val="en"/>
              </w:rPr>
            </w:pPr>
            <w:r>
              <w:rPr>
                <w:rFonts w:hint="eastAsia" w:ascii="Times New Roman" w:hAnsi="Times New Roman"/>
                <w:b/>
                <w:bCs/>
                <w:kern w:val="0"/>
                <w:sz w:val="24"/>
                <w:lang w:val="en"/>
              </w:rPr>
              <w:t>股权投资：</w:t>
            </w:r>
            <w:r>
              <w:rPr>
                <w:rFonts w:hint="eastAsia" w:ascii="Times New Roman" w:hAnsi="Times New Roman"/>
                <w:kern w:val="0"/>
                <w:sz w:val="24"/>
                <w:lang w:val="en"/>
              </w:rPr>
              <w:t>为项目优先提供种子基金、天使基金等股权投资。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continue"/>
            <w:vAlign w:val="center"/>
          </w:tcPr>
          <w:p>
            <w:pPr>
              <w:widowControl/>
              <w:spacing w:line="440" w:lineRule="exact"/>
              <w:jc w:val="center"/>
              <w:rPr>
                <w:rFonts w:ascii="Times New Roman" w:hAnsi="Times New Roman"/>
                <w:b/>
                <w:bCs/>
                <w:color w:val="000000"/>
                <w:kern w:val="0"/>
                <w:sz w:val="24"/>
              </w:rPr>
            </w:pPr>
          </w:p>
        </w:tc>
        <w:tc>
          <w:tcPr>
            <w:tcW w:w="8222" w:type="dxa"/>
            <w:vAlign w:val="center"/>
          </w:tcPr>
          <w:p>
            <w:pPr>
              <w:widowControl/>
              <w:spacing w:line="440" w:lineRule="exact"/>
              <w:rPr>
                <w:rFonts w:ascii="Times New Roman" w:hAnsi="Times New Roman"/>
                <w:b/>
                <w:bCs/>
                <w:kern w:val="0"/>
                <w:sz w:val="24"/>
                <w:lang w:val="en"/>
              </w:rPr>
            </w:pPr>
            <w:r>
              <w:rPr>
                <w:rFonts w:hint="eastAsia" w:ascii="Times New Roman" w:hAnsi="Times New Roman"/>
                <w:b/>
                <w:bCs/>
                <w:kern w:val="0"/>
                <w:sz w:val="24"/>
                <w:lang w:val="en"/>
              </w:rPr>
              <w:t>其他：</w:t>
            </w:r>
            <w:r>
              <w:rPr>
                <w:rFonts w:hint="eastAsia" w:ascii="Times New Roman" w:hAnsi="Times New Roman"/>
                <w:kern w:val="0"/>
                <w:sz w:val="24"/>
                <w:lang w:val="en"/>
              </w:rPr>
              <w:t>通过协会平台，为企业与项目提供法律、财税、审计、资本运作辅导、股权结构设计、商业计划书辅导等服务。</w:t>
            </w:r>
          </w:p>
        </w:tc>
      </w:tr>
    </w:tbl>
    <w:p>
      <w:pPr>
        <w:rPr>
          <w:rFonts w:ascii="Times New Roman" w:hAnsi="Times New Roman"/>
        </w:rPr>
      </w:pPr>
    </w:p>
    <w:tbl>
      <w:tblPr>
        <w:tblStyle w:val="4"/>
        <w:tblpPr w:leftFromText="180" w:rightFromText="180" w:vertAnchor="text" w:horzAnchor="page" w:tblpX="1425" w:tblpY="18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0" w:type="dxa"/>
            <w:gridSpan w:val="2"/>
            <w:vAlign w:val="center"/>
          </w:tcPr>
          <w:p>
            <w:pPr>
              <w:widowControl/>
              <w:spacing w:line="440" w:lineRule="exact"/>
              <w:jc w:val="center"/>
              <w:rPr>
                <w:rFonts w:ascii="Times New Roman" w:hAnsi="Times New Roman"/>
                <w:b/>
                <w:bCs/>
                <w:color w:val="000000"/>
                <w:kern w:val="0"/>
                <w:sz w:val="30"/>
                <w:szCs w:val="30"/>
              </w:rPr>
            </w:pPr>
            <w:r>
              <w:rPr>
                <w:rFonts w:hint="eastAsia" w:ascii="Times New Roman" w:hAnsi="Times New Roman"/>
                <w:b/>
                <w:bCs/>
                <w:color w:val="000000"/>
                <w:kern w:val="0"/>
                <w:sz w:val="28"/>
                <w:szCs w:val="28"/>
              </w:rPr>
              <w:t>东莞市上市公司协会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Align w:val="center"/>
          </w:tcPr>
          <w:p>
            <w:pPr>
              <w:widowControl/>
              <w:spacing w:line="440" w:lineRule="exact"/>
              <w:jc w:val="center"/>
              <w:rPr>
                <w:rFonts w:ascii="Times New Roman" w:hAnsi="Times New Roman"/>
                <w:b/>
                <w:bCs/>
                <w:color w:val="000000"/>
                <w:kern w:val="0"/>
                <w:sz w:val="24"/>
              </w:rPr>
            </w:pPr>
            <w:r>
              <w:rPr>
                <w:rFonts w:ascii="Times New Roman" w:hAnsi="Times New Roman"/>
                <w:b/>
                <w:bCs/>
                <w:color w:val="000000"/>
                <w:kern w:val="0"/>
                <w:sz w:val="24"/>
              </w:rPr>
              <w:t>简介</w:t>
            </w:r>
          </w:p>
        </w:tc>
        <w:tc>
          <w:tcPr>
            <w:tcW w:w="8236" w:type="dxa"/>
            <w:vAlign w:val="center"/>
          </w:tcPr>
          <w:p>
            <w:pPr>
              <w:widowControl/>
              <w:spacing w:line="440" w:lineRule="exact"/>
              <w:ind w:firstLine="480" w:firstLineChars="200"/>
              <w:rPr>
                <w:rFonts w:ascii="Times New Roman" w:hAnsi="Times New Roman"/>
                <w:kern w:val="0"/>
                <w:sz w:val="24"/>
              </w:rPr>
            </w:pPr>
            <w:r>
              <w:rPr>
                <w:rFonts w:ascii="Times New Roman" w:hAnsi="Times New Roman"/>
                <w:kern w:val="0"/>
                <w:sz w:val="24"/>
              </w:rPr>
              <w:t>东莞市上市公司协会（以下简称“协会”）成立于2020年12月，是经东莞市民政局批准成立的上市公司自律组织，属于非营利性社会团体法人，接受东莞市金融工作局的业务指导，且为广东省内首个地级市上市公司协会。</w:t>
            </w:r>
          </w:p>
          <w:p>
            <w:pPr>
              <w:widowControl/>
              <w:spacing w:line="440" w:lineRule="exact"/>
              <w:ind w:firstLine="480" w:firstLineChars="200"/>
              <w:rPr>
                <w:rFonts w:ascii="Times New Roman" w:hAnsi="Times New Roman"/>
                <w:b/>
                <w:bCs/>
                <w:color w:val="FF0000"/>
                <w:kern w:val="0"/>
                <w:sz w:val="24"/>
              </w:rPr>
            </w:pPr>
            <w:r>
              <w:rPr>
                <w:rFonts w:ascii="Times New Roman" w:hAnsi="Times New Roman"/>
                <w:kern w:val="0"/>
                <w:sz w:val="24"/>
              </w:rPr>
              <w:t>目前，协会有会员单位45家，联系会员单位8家，会员主体是在东莞市注册的A股上市公司，总市值超过4300亿。协会始终秉承“规范、发展、服务、共赢”的宗旨，坚持“促进会员合规自律、发挥桥梁纽带作用、加强会员交流合作、提供优质契合服务、推动莞企上市扩容、做大做强东莞板块、整合产业金融资源、分享莞企发展红利”的工作方针，致力于促进上市公司规范自律、合作共赢，推动东莞资本市场的健康发展。</w:t>
            </w:r>
          </w:p>
        </w:tc>
      </w:tr>
    </w:tbl>
    <w:p>
      <w:pPr>
        <w:spacing w:line="580" w:lineRule="exact"/>
      </w:pPr>
    </w:p>
    <w:sectPr>
      <w:footerReference r:id="rId3" w:type="default"/>
      <w:pgSz w:w="11906" w:h="16838"/>
      <w:pgMar w:top="2098"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CAEFB"/>
    <w:multiLevelType w:val="singleLevel"/>
    <w:tmpl w:val="B5ECAEFB"/>
    <w:lvl w:ilvl="0" w:tentative="0">
      <w:start w:val="1"/>
      <w:numFmt w:val="decimal"/>
      <w:suff w:val="nothing"/>
      <w:lvlText w:val="%1．"/>
      <w:lvlJc w:val="left"/>
    </w:lvl>
  </w:abstractNum>
  <w:abstractNum w:abstractNumId="1">
    <w:nsid w:val="0F76D399"/>
    <w:multiLevelType w:val="singleLevel"/>
    <w:tmpl w:val="0F76D399"/>
    <w:lvl w:ilvl="0" w:tentative="0">
      <w:start w:val="1"/>
      <w:numFmt w:val="decimal"/>
      <w:suff w:val="nothing"/>
      <w:lvlText w:val="（%1）"/>
      <w:lvlJc w:val="left"/>
    </w:lvl>
  </w:abstractNum>
  <w:abstractNum w:abstractNumId="2">
    <w:nsid w:val="1FDE0818"/>
    <w:multiLevelType w:val="singleLevel"/>
    <w:tmpl w:val="1FDE0818"/>
    <w:lvl w:ilvl="0" w:tentative="0">
      <w:start w:val="2"/>
      <w:numFmt w:val="chineseCounting"/>
      <w:suff w:val="nothing"/>
      <w:lvlText w:val="%1、"/>
      <w:lvlJc w:val="left"/>
      <w:rPr>
        <w:rFonts w:hint="eastAsia"/>
      </w:rPr>
    </w:lvl>
  </w:abstractNum>
  <w:abstractNum w:abstractNumId="3">
    <w:nsid w:val="3F9FEDD9"/>
    <w:multiLevelType w:val="singleLevel"/>
    <w:tmpl w:val="3F9FEDD9"/>
    <w:lvl w:ilvl="0" w:tentative="0">
      <w:start w:val="1"/>
      <w:numFmt w:val="decimal"/>
      <w:suff w:val="nothing"/>
      <w:lvlText w:val="%1．"/>
      <w:lvlJc w:val="left"/>
    </w:lvl>
  </w:abstractNum>
  <w:abstractNum w:abstractNumId="4">
    <w:nsid w:val="5E9F521C"/>
    <w:multiLevelType w:val="multilevel"/>
    <w:tmpl w:val="5E9F521C"/>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97CEFF"/>
    <w:rsid w:val="0034784F"/>
    <w:rsid w:val="00376613"/>
    <w:rsid w:val="00414033"/>
    <w:rsid w:val="0044629E"/>
    <w:rsid w:val="00515C59"/>
    <w:rsid w:val="006A1282"/>
    <w:rsid w:val="00BA0897"/>
    <w:rsid w:val="37BEDEDA"/>
    <w:rsid w:val="4AFF9247"/>
    <w:rsid w:val="5BCBB4CD"/>
    <w:rsid w:val="6F5E793A"/>
    <w:rsid w:val="6FBFDF90"/>
    <w:rsid w:val="755F3426"/>
    <w:rsid w:val="75ADE9D6"/>
    <w:rsid w:val="787FC85E"/>
    <w:rsid w:val="7FD79410"/>
    <w:rsid w:val="7FFA301C"/>
    <w:rsid w:val="7FFDF777"/>
    <w:rsid w:val="7FFECA49"/>
    <w:rsid w:val="96DACDC6"/>
    <w:rsid w:val="CF2F04B4"/>
    <w:rsid w:val="CFB392CE"/>
    <w:rsid w:val="DFFFC5BA"/>
    <w:rsid w:val="E597CEFF"/>
    <w:rsid w:val="EA7F9F3E"/>
    <w:rsid w:val="EDFEDE39"/>
    <w:rsid w:val="EFEE3211"/>
    <w:rsid w:val="F1D3C78F"/>
    <w:rsid w:val="F6FB3417"/>
    <w:rsid w:val="F9F49ECD"/>
    <w:rsid w:val="FF0F6D1B"/>
    <w:rsid w:val="FF8C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2499</Words>
  <Characters>14249</Characters>
  <Lines>118</Lines>
  <Paragraphs>33</Paragraphs>
  <TotalTime>300</TotalTime>
  <ScaleCrop>false</ScaleCrop>
  <LinksUpToDate>false</LinksUpToDate>
  <CharactersWithSpaces>16715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2022-03-10T02:22:00Z</dcterms:created>
  <dc:creator>uos</dc:creator>
  <cp:lastModifiedBy>uoa</cp:lastModifiedBy>
  <cp:lastPrinted>2022-09-09T16:23:11Z</cp:lastPrinted>
  <dcterms:modified xsi:type="dcterms:W3CDTF">2022-09-09T16:23:14Z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