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exact"/>
        <w:jc w:val="center"/>
      </w:pPr>
      <w:r>
        <w:rPr>
          <w:rFonts w:hint="eastAsia" w:ascii="方正小标宋简体" w:hAnsi="方正小标宋简体" w:eastAsia="方正小标宋简体" w:cs="方正小标宋简体"/>
          <w:bCs/>
          <w:spacing w:val="-18"/>
          <w:sz w:val="40"/>
          <w:szCs w:val="40"/>
        </w:rPr>
        <w:t>《东莞市支持人才创新创业项目实施办法》</w:t>
      </w:r>
      <w:r>
        <w:rPr>
          <w:rFonts w:hint="eastAsia" w:ascii="方正小标宋简体" w:hAnsi="方正小标宋简体" w:eastAsia="方正小标宋简体" w:cs="方正小标宋简体"/>
          <w:bCs/>
          <w:spacing w:val="-18"/>
          <w:sz w:val="40"/>
          <w:szCs w:val="40"/>
          <w:lang w:eastAsia="zh-CN"/>
        </w:rPr>
        <w:t>公开征求意见</w:t>
      </w:r>
      <w:r>
        <w:rPr>
          <w:rFonts w:hint="eastAsia" w:ascii="方正小标宋简体" w:hAnsi="方正小标宋简体" w:eastAsia="方正小标宋简体" w:cs="方正小标宋简体"/>
          <w:bCs/>
          <w:spacing w:val="-18"/>
          <w:sz w:val="40"/>
          <w:szCs w:val="40"/>
        </w:rPr>
        <w:t>情况汇总表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0"/>
        <w:gridCol w:w="1136"/>
        <w:gridCol w:w="5606"/>
        <w:gridCol w:w="6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700" w:type="dxa"/>
            <w:vAlign w:val="center"/>
          </w:tcPr>
          <w:p>
            <w:pPr>
              <w:spacing w:line="280" w:lineRule="exact"/>
              <w:ind w:right="-87"/>
              <w:contextualSpacing/>
              <w:jc w:val="center"/>
              <w:rPr>
                <w:rFonts w:ascii="黑体" w:hAnsi="黑体" w:eastAsia="黑体"/>
                <w:bCs/>
                <w:color w:val="000000"/>
                <w:spacing w:val="8"/>
                <w:sz w:val="22"/>
                <w:szCs w:val="22"/>
              </w:rPr>
            </w:pPr>
            <w:r>
              <w:rPr>
                <w:rFonts w:hint="eastAsia" w:ascii="黑体" w:hAnsi="黑体" w:eastAsia="黑体"/>
                <w:bCs/>
                <w:color w:val="000000"/>
                <w:spacing w:val="8"/>
                <w:sz w:val="22"/>
                <w:szCs w:val="22"/>
              </w:rPr>
              <w:t>序号</w:t>
            </w:r>
          </w:p>
        </w:tc>
        <w:tc>
          <w:tcPr>
            <w:tcW w:w="1136" w:type="dxa"/>
            <w:vAlign w:val="center"/>
          </w:tcPr>
          <w:p>
            <w:pPr>
              <w:spacing w:line="280" w:lineRule="exact"/>
              <w:ind w:right="-87"/>
              <w:contextualSpacing/>
              <w:jc w:val="center"/>
              <w:rPr>
                <w:rFonts w:ascii="黑体" w:hAnsi="黑体" w:eastAsia="黑体"/>
                <w:bCs/>
                <w:color w:val="000000"/>
                <w:spacing w:val="8"/>
                <w:sz w:val="22"/>
                <w:szCs w:val="22"/>
              </w:rPr>
            </w:pPr>
            <w:r>
              <w:rPr>
                <w:rFonts w:hint="eastAsia" w:ascii="黑体" w:hAnsi="黑体" w:eastAsia="黑体"/>
                <w:bCs/>
                <w:color w:val="000000"/>
                <w:spacing w:val="8"/>
                <w:sz w:val="22"/>
                <w:szCs w:val="22"/>
              </w:rPr>
              <w:t>反馈单位</w:t>
            </w:r>
          </w:p>
        </w:tc>
        <w:tc>
          <w:tcPr>
            <w:tcW w:w="5606" w:type="dxa"/>
            <w:vAlign w:val="center"/>
          </w:tcPr>
          <w:p>
            <w:pPr>
              <w:spacing w:line="280" w:lineRule="exact"/>
              <w:ind w:right="-87"/>
              <w:contextualSpacing/>
              <w:jc w:val="center"/>
              <w:rPr>
                <w:rFonts w:ascii="黑体" w:hAnsi="黑体" w:eastAsia="黑体"/>
                <w:bCs/>
                <w:color w:val="000000"/>
                <w:spacing w:val="8"/>
                <w:sz w:val="22"/>
                <w:szCs w:val="22"/>
              </w:rPr>
            </w:pPr>
            <w:r>
              <w:rPr>
                <w:rFonts w:hint="eastAsia" w:ascii="黑体" w:hAnsi="黑体" w:eastAsia="黑体"/>
                <w:bCs/>
                <w:color w:val="000000"/>
                <w:spacing w:val="8"/>
                <w:sz w:val="22"/>
                <w:szCs w:val="22"/>
              </w:rPr>
              <w:t>反馈修改意见及建议</w:t>
            </w:r>
          </w:p>
        </w:tc>
        <w:tc>
          <w:tcPr>
            <w:tcW w:w="6732" w:type="dxa"/>
            <w:vAlign w:val="center"/>
          </w:tcPr>
          <w:p>
            <w:pPr>
              <w:spacing w:line="280" w:lineRule="exact"/>
              <w:ind w:right="-87"/>
              <w:contextualSpacing/>
              <w:jc w:val="center"/>
              <w:rPr>
                <w:rFonts w:ascii="黑体" w:hAnsi="黑体" w:eastAsia="黑体"/>
                <w:bCs/>
                <w:color w:val="000000"/>
                <w:spacing w:val="8"/>
                <w:sz w:val="22"/>
                <w:szCs w:val="22"/>
              </w:rPr>
            </w:pPr>
            <w:r>
              <w:rPr>
                <w:rFonts w:hint="eastAsia" w:ascii="黑体" w:hAnsi="黑体" w:eastAsia="黑体"/>
                <w:bCs/>
                <w:color w:val="000000"/>
                <w:spacing w:val="8"/>
                <w:sz w:val="22"/>
                <w:szCs w:val="22"/>
              </w:rPr>
              <w:t>采纳情况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700" w:type="dxa"/>
            <w:vAlign w:val="center"/>
          </w:tcPr>
          <w:p>
            <w:pPr>
              <w:spacing w:line="400" w:lineRule="exact"/>
              <w:jc w:val="center"/>
              <w:rPr>
                <w:rFonts w:ascii="NEU-BZ-S92" w:hAnsi="NEU-BZ-S92" w:eastAsia="宋体" w:cs="NEU-BZ-S92"/>
                <w:sz w:val="24"/>
                <w:szCs w:val="24"/>
              </w:rPr>
            </w:pPr>
            <w:r>
              <w:rPr>
                <w:rFonts w:hint="eastAsia" w:ascii="NEU-BZ-S92" w:hAnsi="NEU-BZ-S92" w:eastAsia="宋体" w:cs="NEU-BZ-S92"/>
                <w:sz w:val="24"/>
                <w:szCs w:val="24"/>
              </w:rPr>
              <w:t>1</w:t>
            </w:r>
          </w:p>
        </w:tc>
        <w:tc>
          <w:tcPr>
            <w:tcW w:w="1136" w:type="dxa"/>
            <w:vAlign w:val="center"/>
          </w:tcPr>
          <w:p>
            <w:pPr>
              <w:spacing w:line="400" w:lineRule="exact"/>
              <w:jc w:val="center"/>
              <w:rPr>
                <w:rFonts w:hint="eastAsia" w:ascii="NEU-BZ-S92" w:hAnsi="NEU-BZ-S92" w:eastAsia="仿宋_GB2312" w:cs="NEU-BZ-S92"/>
                <w:sz w:val="24"/>
                <w:szCs w:val="24"/>
                <w:lang w:eastAsia="zh-CN"/>
              </w:rPr>
            </w:pPr>
            <w:r>
              <w:rPr>
                <w:rFonts w:hint="eastAsia" w:cs="Times New Roman"/>
                <w:sz w:val="24"/>
                <w:szCs w:val="24"/>
                <w:lang w:eastAsia="zh-CN"/>
              </w:rPr>
              <w:t>北京大学东莞光电研究院</w:t>
            </w:r>
          </w:p>
        </w:tc>
        <w:tc>
          <w:tcPr>
            <w:tcW w:w="5606" w:type="dxa"/>
            <w:vAlign w:val="center"/>
          </w:tcPr>
          <w:p>
            <w:pPr>
              <w:spacing w:line="400" w:lineRule="exact"/>
              <w:jc w:val="both"/>
              <w:rPr>
                <w:rFonts w:hint="eastAsia"/>
                <w:sz w:val="24"/>
                <w:szCs w:val="24"/>
                <w:lang w:val="en-US" w:eastAsia="zh-CN"/>
              </w:rPr>
            </w:pPr>
            <w:r>
              <w:rPr>
                <w:rFonts w:hint="eastAsia"/>
                <w:sz w:val="24"/>
                <w:szCs w:val="24"/>
                <w:lang w:val="en-US" w:eastAsia="zh-CN"/>
              </w:rPr>
              <w:t>1. 建议对核心成员的引进方式适当放宽，允许部分核心成员先期以柔性引进方式（如每年在莞工作时长不少于6个月）参与项目，带项目进入稳定阶段后再转为全职。</w:t>
            </w:r>
          </w:p>
          <w:p>
            <w:pPr>
              <w:spacing w:line="400" w:lineRule="exact"/>
              <w:jc w:val="both"/>
              <w:rPr>
                <w:rFonts w:hint="default"/>
                <w:sz w:val="24"/>
                <w:szCs w:val="24"/>
                <w:lang w:val="en-US" w:eastAsia="zh-CN"/>
              </w:rPr>
            </w:pPr>
            <w:r>
              <w:rPr>
                <w:rFonts w:hint="eastAsia"/>
                <w:sz w:val="24"/>
                <w:szCs w:val="24"/>
                <w:lang w:val="en-US" w:eastAsia="zh-CN"/>
              </w:rPr>
              <w:t>2. 建议根据项目所处阶段和技术领域特点，适当降低自筹经费配套比例（如调整为不低于1：0.8），或设置差异化的比例标准（如对前沿技术研发类项目放宽至1：0.7，对成果转化类项目保持1：1）。</w:t>
            </w:r>
          </w:p>
        </w:tc>
        <w:tc>
          <w:tcPr>
            <w:tcW w:w="67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szCs w:val="24"/>
                <w:lang w:val="en-US" w:eastAsia="zh-CN"/>
              </w:rPr>
            </w:pPr>
            <w:r>
              <w:rPr>
                <w:rFonts w:hint="eastAsia"/>
                <w:sz w:val="24"/>
                <w:szCs w:val="24"/>
                <w:lang w:val="en-US" w:eastAsia="zh-CN"/>
              </w:rPr>
              <w:t>不采纳</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ascii="Times New Roman" w:hAnsi="Times New Roman" w:cs="Times New Roman"/>
                <w:sz w:val="24"/>
                <w:szCs w:val="24"/>
                <w:lang w:val="en-US" w:eastAsia="zh-CN"/>
              </w:rPr>
            </w:pPr>
            <w:r>
              <w:rPr>
                <w:rFonts w:hint="eastAsia"/>
                <w:sz w:val="24"/>
                <w:szCs w:val="24"/>
                <w:lang w:val="en-US" w:eastAsia="zh-CN"/>
              </w:rPr>
              <w:t>1</w:t>
            </w:r>
            <w:r>
              <w:rPr>
                <w:rFonts w:hint="eastAsia" w:ascii="Times New Roman" w:hAnsi="Times New Roman" w:cs="Times New Roman"/>
                <w:sz w:val="24"/>
                <w:szCs w:val="24"/>
                <w:lang w:val="en-US" w:eastAsia="zh-CN"/>
              </w:rPr>
              <w:t>.针对适当放宽在莞工作时长的</w:t>
            </w:r>
            <w:r>
              <w:rPr>
                <w:rFonts w:hint="eastAsia" w:cs="Times New Roman"/>
                <w:sz w:val="24"/>
                <w:szCs w:val="24"/>
                <w:lang w:val="en-US" w:eastAsia="zh-CN"/>
              </w:rPr>
              <w:t>建议</w:t>
            </w:r>
            <w:r>
              <w:rPr>
                <w:rFonts w:hint="eastAsia" w:ascii="Times New Roman" w:hAnsi="Times New Roman" w:cs="Times New Roman"/>
                <w:sz w:val="24"/>
                <w:szCs w:val="24"/>
                <w:lang w:val="en-US" w:eastAsia="zh-CN"/>
              </w:rPr>
              <w:t>，</w:t>
            </w:r>
            <w:r>
              <w:rPr>
                <w:rFonts w:hint="eastAsia" w:cs="Times New Roman"/>
                <w:sz w:val="24"/>
                <w:szCs w:val="24"/>
                <w:lang w:val="en-US" w:eastAsia="zh-CN"/>
              </w:rPr>
              <w:t>目前战略科学家团队和创新科研团队的带头人均已放宽至允许柔性引进，为确保引进团队可以稳定在莞工作，结合省创新科研团队对于团队成员全部全职在粤的要求，故不采纳此意见</w:t>
            </w:r>
            <w:r>
              <w:rPr>
                <w:rFonts w:hint="eastAsia" w:ascii="Times New Roman" w:hAnsi="Times New Roman" w:cs="Times New Roman"/>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仿宋_GB2312" w:hAnsi="仿宋_GB2312" w:eastAsia="仿宋_GB2312" w:cs="仿宋_GB2312"/>
                <w:b w:val="0"/>
                <w:bCs w:val="0"/>
                <w:kern w:val="2"/>
                <w:sz w:val="24"/>
                <w:szCs w:val="24"/>
                <w:lang w:val="en-US" w:eastAsia="zh-CN" w:bidi="ar-SA"/>
              </w:rPr>
            </w:pPr>
            <w:r>
              <w:rPr>
                <w:rFonts w:hint="eastAsia" w:ascii="Times New Roman" w:hAnsi="Times New Roman" w:cs="Times New Roman"/>
                <w:sz w:val="24"/>
                <w:szCs w:val="24"/>
                <w:lang w:val="en-US" w:eastAsia="zh-CN"/>
              </w:rPr>
              <w:t>2.</w:t>
            </w:r>
            <w:r>
              <w:rPr>
                <w:rFonts w:hint="eastAsia" w:cs="Times New Roman"/>
                <w:sz w:val="24"/>
                <w:szCs w:val="24"/>
                <w:lang w:val="en-US" w:eastAsia="zh-CN"/>
              </w:rPr>
              <w:t>针对降低项目配套自筹经费的建议，参照省目前有关政策及上一轮人才</w:t>
            </w:r>
            <w:bookmarkStart w:id="0" w:name="_GoBack"/>
            <w:bookmarkEnd w:id="0"/>
            <w:r>
              <w:rPr>
                <w:rFonts w:hint="eastAsia" w:cs="Times New Roman"/>
                <w:sz w:val="24"/>
                <w:szCs w:val="24"/>
                <w:lang w:val="en-US" w:eastAsia="zh-CN"/>
              </w:rPr>
              <w:t>政策实施情况，为保障政府资助资金的引导性特点，遴选具有实力的人才团队，仍保留需对财政资金进行</w:t>
            </w:r>
            <w:r>
              <w:rPr>
                <w:rFonts w:hint="eastAsia" w:ascii="Times New Roman" w:hAnsi="Times New Roman" w:cs="Times New Roman"/>
                <w:sz w:val="24"/>
                <w:szCs w:val="24"/>
                <w:lang w:val="en-US" w:eastAsia="zh-CN"/>
              </w:rPr>
              <w:t>1：1的自筹经费配套，</w:t>
            </w:r>
            <w:r>
              <w:rPr>
                <w:rFonts w:hint="eastAsia" w:cs="Times New Roman"/>
                <w:sz w:val="24"/>
                <w:szCs w:val="24"/>
                <w:lang w:val="en-US" w:eastAsia="zh-CN"/>
              </w:rPr>
              <w:t>故</w:t>
            </w:r>
            <w:r>
              <w:rPr>
                <w:rFonts w:hint="eastAsia" w:ascii="Times New Roman" w:hAnsi="Times New Roman" w:cs="Times New Roman"/>
                <w:sz w:val="24"/>
                <w:szCs w:val="24"/>
                <w:lang w:val="en-US" w:eastAsia="zh-CN"/>
              </w:rPr>
              <w:t>不采纳</w:t>
            </w:r>
            <w:r>
              <w:rPr>
                <w:rFonts w:hint="eastAsia" w:cs="Times New Roman"/>
                <w:sz w:val="24"/>
                <w:szCs w:val="24"/>
                <w:lang w:val="en-US" w:eastAsia="zh-CN"/>
              </w:rPr>
              <w:t>此意见</w:t>
            </w:r>
            <w:r>
              <w:rPr>
                <w:rFonts w:hint="eastAsia" w:ascii="Times New Roman" w:hAnsi="Times New Roman"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4" w:hRule="atLeast"/>
          <w:jc w:val="center"/>
        </w:trPr>
        <w:tc>
          <w:tcPr>
            <w:tcW w:w="700" w:type="dxa"/>
            <w:vAlign w:val="center"/>
          </w:tcPr>
          <w:p>
            <w:pPr>
              <w:spacing w:line="400" w:lineRule="exact"/>
              <w:jc w:val="center"/>
              <w:rPr>
                <w:rFonts w:hint="eastAsia" w:ascii="NEU-BZ-S92" w:hAnsi="NEU-BZ-S92" w:eastAsia="宋体" w:cs="NEU-BZ-S92"/>
                <w:sz w:val="24"/>
                <w:szCs w:val="24"/>
                <w:lang w:val="en-US" w:eastAsia="zh-CN"/>
              </w:rPr>
            </w:pPr>
            <w:r>
              <w:rPr>
                <w:rFonts w:hint="eastAsia" w:ascii="NEU-BZ-S92" w:hAnsi="NEU-BZ-S92" w:eastAsia="宋体" w:cs="NEU-BZ-S92"/>
                <w:sz w:val="24"/>
                <w:szCs w:val="24"/>
                <w:lang w:val="en-US" w:eastAsia="zh-CN"/>
              </w:rPr>
              <w:t>2</w:t>
            </w:r>
          </w:p>
        </w:tc>
        <w:tc>
          <w:tcPr>
            <w:tcW w:w="1136" w:type="dxa"/>
            <w:vAlign w:val="center"/>
          </w:tcPr>
          <w:p>
            <w:pPr>
              <w:spacing w:line="400" w:lineRule="exact"/>
              <w:jc w:val="center"/>
              <w:rPr>
                <w:rFonts w:hint="eastAsia" w:cs="Times New Roman"/>
                <w:sz w:val="24"/>
                <w:szCs w:val="24"/>
                <w:lang w:eastAsia="zh-CN"/>
              </w:rPr>
            </w:pPr>
            <w:r>
              <w:rPr>
                <w:rFonts w:hint="eastAsia" w:cs="Times New Roman"/>
                <w:sz w:val="24"/>
                <w:szCs w:val="24"/>
                <w:lang w:eastAsia="zh-CN"/>
              </w:rPr>
              <w:t>广东帝融集团有限公司</w:t>
            </w:r>
          </w:p>
        </w:tc>
        <w:tc>
          <w:tcPr>
            <w:tcW w:w="5606" w:type="dxa"/>
            <w:vAlign w:val="center"/>
          </w:tcPr>
          <w:p>
            <w:pPr>
              <w:spacing w:line="400" w:lineRule="exact"/>
              <w:jc w:val="both"/>
              <w:rPr>
                <w:rFonts w:hint="eastAsia"/>
                <w:sz w:val="24"/>
                <w:szCs w:val="24"/>
                <w:lang w:val="en-US" w:eastAsia="zh-CN"/>
              </w:rPr>
            </w:pPr>
            <w:r>
              <w:rPr>
                <w:rFonts w:hint="eastAsia"/>
                <w:sz w:val="24"/>
                <w:szCs w:val="24"/>
                <w:lang w:val="en-US" w:eastAsia="zh-CN"/>
              </w:rPr>
              <w:t>1. 建议在第二条、第三条中对科技类项目和行业类项目的内容进行明确。</w:t>
            </w:r>
          </w:p>
          <w:p>
            <w:pPr>
              <w:spacing w:line="400" w:lineRule="exact"/>
              <w:jc w:val="both"/>
              <w:rPr>
                <w:rFonts w:hint="eastAsia"/>
                <w:sz w:val="24"/>
                <w:szCs w:val="24"/>
                <w:lang w:val="en-US" w:eastAsia="zh-CN"/>
              </w:rPr>
            </w:pPr>
            <w:r>
              <w:rPr>
                <w:rFonts w:hint="eastAsia"/>
                <w:sz w:val="24"/>
                <w:szCs w:val="24"/>
                <w:lang w:val="en-US" w:eastAsia="zh-CN"/>
              </w:rPr>
              <w:t>2. 建议在第四条中的责任分工中明确增加市工业和信息化局、教育局、农业农村局、林业局几个主管部门</w:t>
            </w:r>
          </w:p>
          <w:p>
            <w:pPr>
              <w:spacing w:line="400" w:lineRule="exact"/>
              <w:jc w:val="both"/>
              <w:rPr>
                <w:rFonts w:hint="default"/>
                <w:sz w:val="24"/>
                <w:szCs w:val="24"/>
                <w:lang w:val="en-US" w:eastAsia="zh-CN"/>
              </w:rPr>
            </w:pPr>
            <w:r>
              <w:rPr>
                <w:rFonts w:hint="eastAsia"/>
                <w:sz w:val="24"/>
                <w:szCs w:val="24"/>
                <w:lang w:val="en-US" w:eastAsia="zh-CN"/>
              </w:rPr>
              <w:t>3. 建议将战略科学家团队带头人需具有相当于东莞市《东莞市人才分类评价目录》的A类同等水平降为B类。</w:t>
            </w:r>
          </w:p>
          <w:p>
            <w:pPr>
              <w:spacing w:line="400" w:lineRule="exact"/>
              <w:jc w:val="both"/>
              <w:rPr>
                <w:rFonts w:hint="default"/>
                <w:sz w:val="24"/>
                <w:szCs w:val="24"/>
                <w:lang w:val="en-US" w:eastAsia="zh-CN"/>
              </w:rPr>
            </w:pPr>
            <w:r>
              <w:rPr>
                <w:rFonts w:hint="eastAsia"/>
                <w:sz w:val="24"/>
                <w:szCs w:val="24"/>
                <w:lang w:val="en-US" w:eastAsia="zh-CN"/>
              </w:rPr>
              <w:t>4. 建议在第七条第三点中，有较丰富的科技成果转化部分增加“取得中级技术经纪人以上”</w:t>
            </w:r>
          </w:p>
        </w:tc>
        <w:tc>
          <w:tcPr>
            <w:tcW w:w="6732"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szCs w:val="24"/>
                <w:lang w:val="en-US" w:eastAsia="zh-CN"/>
              </w:rPr>
            </w:pPr>
            <w:r>
              <w:rPr>
                <w:rFonts w:hint="eastAsia"/>
                <w:sz w:val="24"/>
                <w:szCs w:val="24"/>
                <w:lang w:val="en-US" w:eastAsia="zh-CN"/>
              </w:rPr>
              <w:t>部分采纳</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szCs w:val="24"/>
                <w:lang w:val="en-US" w:eastAsia="zh-CN"/>
              </w:rPr>
            </w:pPr>
            <w:r>
              <w:rPr>
                <w:rFonts w:hint="eastAsia"/>
                <w:sz w:val="24"/>
                <w:szCs w:val="24"/>
                <w:lang w:val="en-US" w:eastAsia="zh-CN"/>
              </w:rPr>
              <w:t>1. 《东莞市支持人才创新创业项目实施办法》为全市人才项目总体性文件，重点支持科技类项目，兼顾行业类项目。因此，采用“政策总体部分为科技类项目，行业类项目单独配套细则”的方式制定政策，故不采纳此意见；</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szCs w:val="24"/>
                <w:lang w:val="en-US" w:eastAsia="zh-CN"/>
              </w:rPr>
            </w:pPr>
            <w:r>
              <w:rPr>
                <w:rFonts w:hint="eastAsia"/>
                <w:sz w:val="24"/>
                <w:szCs w:val="24"/>
                <w:lang w:val="en-US" w:eastAsia="zh-CN"/>
              </w:rPr>
              <w:t>2. 《东莞市支持人才创新创业项目实施办法》重点支持科技类项目，目前市工信局、教育局、农业农村局、林业局未设置相应专项，故不采纳此意见；</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sz w:val="24"/>
                <w:szCs w:val="24"/>
                <w:lang w:val="en-US" w:eastAsia="zh-CN"/>
              </w:rPr>
            </w:pPr>
            <w:r>
              <w:rPr>
                <w:rFonts w:hint="eastAsia"/>
                <w:sz w:val="24"/>
                <w:szCs w:val="24"/>
                <w:lang w:val="en-US" w:eastAsia="zh-CN"/>
              </w:rPr>
              <w:t>3. 战略科学家团队是我市引进培育的最高级别人才团队，其带头人应具有一流科科研水平，因此在政策中设置相当于A类的人才的水平条件，故不采纳此意见；</w:t>
            </w:r>
          </w:p>
          <w:p>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default"/>
                <w:sz w:val="24"/>
                <w:szCs w:val="24"/>
                <w:lang w:val="en-US" w:eastAsia="zh-CN"/>
              </w:rPr>
            </w:pPr>
            <w:r>
              <w:rPr>
                <w:rFonts w:hint="eastAsia"/>
                <w:sz w:val="24"/>
                <w:szCs w:val="24"/>
                <w:lang w:val="en-US" w:eastAsia="zh-CN"/>
              </w:rPr>
              <w:t>4. 将在后续的配套实施细则中视情况添加对于技术经纪人等作为成果转化的佐证材料，部分采纳此意见。</w:t>
            </w:r>
          </w:p>
        </w:tc>
      </w:tr>
    </w:tbl>
    <w:p>
      <w:pPr>
        <w:pStyle w:val="5"/>
      </w:pPr>
    </w:p>
    <w:sectPr>
      <w:pgSz w:w="16838" w:h="11906" w:orient="landscape"/>
      <w:pgMar w:top="1361" w:right="1440" w:bottom="68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华康简标题宋">
    <w:panose1 w:val="02010609000101010101"/>
    <w:charset w:val="86"/>
    <w:family w:val="moder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true"/>
  <w:embedSystemFont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FF01AD"/>
    <w:rsid w:val="00012470"/>
    <w:rsid w:val="0001497D"/>
    <w:rsid w:val="00086479"/>
    <w:rsid w:val="00103C90"/>
    <w:rsid w:val="001931BE"/>
    <w:rsid w:val="001A3C0E"/>
    <w:rsid w:val="00256B22"/>
    <w:rsid w:val="00460F14"/>
    <w:rsid w:val="004722AD"/>
    <w:rsid w:val="00495343"/>
    <w:rsid w:val="004E1A8B"/>
    <w:rsid w:val="0050397E"/>
    <w:rsid w:val="00510217"/>
    <w:rsid w:val="00656112"/>
    <w:rsid w:val="006A6416"/>
    <w:rsid w:val="006B1A20"/>
    <w:rsid w:val="00734954"/>
    <w:rsid w:val="0078224F"/>
    <w:rsid w:val="00994C74"/>
    <w:rsid w:val="009F3FF1"/>
    <w:rsid w:val="00AB1A84"/>
    <w:rsid w:val="00AC3817"/>
    <w:rsid w:val="00BF3CC5"/>
    <w:rsid w:val="00CF0D75"/>
    <w:rsid w:val="00D245BC"/>
    <w:rsid w:val="00E4435E"/>
    <w:rsid w:val="00EF2EE6"/>
    <w:rsid w:val="0D7F1873"/>
    <w:rsid w:val="10F3EFA2"/>
    <w:rsid w:val="14B1BF6A"/>
    <w:rsid w:val="17EECFA2"/>
    <w:rsid w:val="1ADFFEB0"/>
    <w:rsid w:val="1E7FDD54"/>
    <w:rsid w:val="1FDF42E1"/>
    <w:rsid w:val="26DF8A9C"/>
    <w:rsid w:val="27A798D2"/>
    <w:rsid w:val="27FA1413"/>
    <w:rsid w:val="2AFE6F7A"/>
    <w:rsid w:val="2C7F772A"/>
    <w:rsid w:val="2CDDD242"/>
    <w:rsid w:val="2DEFF87B"/>
    <w:rsid w:val="2F4FBC16"/>
    <w:rsid w:val="33BB8AE9"/>
    <w:rsid w:val="342D075C"/>
    <w:rsid w:val="356D864A"/>
    <w:rsid w:val="37FE6CDF"/>
    <w:rsid w:val="39FF8FE0"/>
    <w:rsid w:val="3B817ABC"/>
    <w:rsid w:val="3BF78CA6"/>
    <w:rsid w:val="3D5B1D9B"/>
    <w:rsid w:val="3DB6E0E1"/>
    <w:rsid w:val="3DCB07E8"/>
    <w:rsid w:val="3DDF246C"/>
    <w:rsid w:val="3EEF9FA7"/>
    <w:rsid w:val="3F675748"/>
    <w:rsid w:val="3FD5EC4E"/>
    <w:rsid w:val="3FF04191"/>
    <w:rsid w:val="3FF395E1"/>
    <w:rsid w:val="3FFB002D"/>
    <w:rsid w:val="3FFF01AD"/>
    <w:rsid w:val="42EE4235"/>
    <w:rsid w:val="49CF40F6"/>
    <w:rsid w:val="4BAF18CE"/>
    <w:rsid w:val="4BDA42E0"/>
    <w:rsid w:val="4C7F5285"/>
    <w:rsid w:val="4FEFA79C"/>
    <w:rsid w:val="528DC634"/>
    <w:rsid w:val="55C9A250"/>
    <w:rsid w:val="55ECA609"/>
    <w:rsid w:val="576BA560"/>
    <w:rsid w:val="57B48C41"/>
    <w:rsid w:val="5975F17F"/>
    <w:rsid w:val="5AFF144D"/>
    <w:rsid w:val="5BEF977A"/>
    <w:rsid w:val="5BF260B0"/>
    <w:rsid w:val="5C7A316A"/>
    <w:rsid w:val="5DEDFE5D"/>
    <w:rsid w:val="5DFD40FE"/>
    <w:rsid w:val="5DFDB923"/>
    <w:rsid w:val="5DFF9FB4"/>
    <w:rsid w:val="5E6D38E3"/>
    <w:rsid w:val="5E9FCBD9"/>
    <w:rsid w:val="5EF61611"/>
    <w:rsid w:val="5EFEFFB0"/>
    <w:rsid w:val="5EFF1456"/>
    <w:rsid w:val="5F39CC8A"/>
    <w:rsid w:val="5F3E2A2C"/>
    <w:rsid w:val="5F6E8B06"/>
    <w:rsid w:val="5FDB3F71"/>
    <w:rsid w:val="5FFD0B8F"/>
    <w:rsid w:val="5FFDB0C0"/>
    <w:rsid w:val="5FFE88E3"/>
    <w:rsid w:val="5FFFFAF9"/>
    <w:rsid w:val="62333A78"/>
    <w:rsid w:val="62E52E03"/>
    <w:rsid w:val="63EB4EA0"/>
    <w:rsid w:val="64EBD9E9"/>
    <w:rsid w:val="661F2F4C"/>
    <w:rsid w:val="66D67084"/>
    <w:rsid w:val="673F8167"/>
    <w:rsid w:val="676FEEAD"/>
    <w:rsid w:val="67B743E2"/>
    <w:rsid w:val="67E33C1C"/>
    <w:rsid w:val="69FC4E4A"/>
    <w:rsid w:val="6A77677F"/>
    <w:rsid w:val="6BB6AFC8"/>
    <w:rsid w:val="6BBF6F20"/>
    <w:rsid w:val="6DBF00F3"/>
    <w:rsid w:val="6DC6A181"/>
    <w:rsid w:val="6E5B1CEB"/>
    <w:rsid w:val="6EF30D15"/>
    <w:rsid w:val="6F4E52CC"/>
    <w:rsid w:val="6FCFC113"/>
    <w:rsid w:val="6FEF7164"/>
    <w:rsid w:val="6FF5BE92"/>
    <w:rsid w:val="6FFF7CBF"/>
    <w:rsid w:val="6FFFD202"/>
    <w:rsid w:val="733F7843"/>
    <w:rsid w:val="73B21FB2"/>
    <w:rsid w:val="73EABCD0"/>
    <w:rsid w:val="73F70BCC"/>
    <w:rsid w:val="754DDED6"/>
    <w:rsid w:val="75562BA1"/>
    <w:rsid w:val="755ED0D0"/>
    <w:rsid w:val="75ED8D19"/>
    <w:rsid w:val="767984E4"/>
    <w:rsid w:val="767F099B"/>
    <w:rsid w:val="767FF85F"/>
    <w:rsid w:val="775F29DD"/>
    <w:rsid w:val="776850B1"/>
    <w:rsid w:val="7771A7B5"/>
    <w:rsid w:val="777500B6"/>
    <w:rsid w:val="777FDA62"/>
    <w:rsid w:val="79FBDCEE"/>
    <w:rsid w:val="7AA7E6D2"/>
    <w:rsid w:val="7AB71A6B"/>
    <w:rsid w:val="7AFF5D83"/>
    <w:rsid w:val="7B7F3499"/>
    <w:rsid w:val="7BB7B4CE"/>
    <w:rsid w:val="7BE65824"/>
    <w:rsid w:val="7BFD1FBD"/>
    <w:rsid w:val="7C359ABD"/>
    <w:rsid w:val="7C7DE345"/>
    <w:rsid w:val="7CB86C40"/>
    <w:rsid w:val="7CD476A0"/>
    <w:rsid w:val="7D7F1C3B"/>
    <w:rsid w:val="7DAB7D54"/>
    <w:rsid w:val="7DAEAE2C"/>
    <w:rsid w:val="7DDE8564"/>
    <w:rsid w:val="7DDFD804"/>
    <w:rsid w:val="7DEDF58F"/>
    <w:rsid w:val="7DF705F0"/>
    <w:rsid w:val="7E2DD783"/>
    <w:rsid w:val="7E37A6EF"/>
    <w:rsid w:val="7EAB09F4"/>
    <w:rsid w:val="7EBF0F5A"/>
    <w:rsid w:val="7ECD1964"/>
    <w:rsid w:val="7F3C22F8"/>
    <w:rsid w:val="7F6724CF"/>
    <w:rsid w:val="7F6E8053"/>
    <w:rsid w:val="7F798B1F"/>
    <w:rsid w:val="7FB9F0B7"/>
    <w:rsid w:val="7FBFD15A"/>
    <w:rsid w:val="7FDBF2DB"/>
    <w:rsid w:val="7FDF77EA"/>
    <w:rsid w:val="7FDFADF0"/>
    <w:rsid w:val="7FE55216"/>
    <w:rsid w:val="7FEF4C26"/>
    <w:rsid w:val="7FF76D96"/>
    <w:rsid w:val="7FF7F849"/>
    <w:rsid w:val="7FFB2CDF"/>
    <w:rsid w:val="7FFB83FC"/>
    <w:rsid w:val="7FFF29EE"/>
    <w:rsid w:val="7FFFC166"/>
    <w:rsid w:val="8BEE77F5"/>
    <w:rsid w:val="8F8F2026"/>
    <w:rsid w:val="9C7FB7DC"/>
    <w:rsid w:val="9F1F3C9F"/>
    <w:rsid w:val="ABFFAF7F"/>
    <w:rsid w:val="AF43460A"/>
    <w:rsid w:val="AFF9FE11"/>
    <w:rsid w:val="AFFE4827"/>
    <w:rsid w:val="B4D71740"/>
    <w:rsid w:val="B76C38F3"/>
    <w:rsid w:val="B7F74054"/>
    <w:rsid w:val="BBDA7CCA"/>
    <w:rsid w:val="BCD9E44B"/>
    <w:rsid w:val="BDB7563B"/>
    <w:rsid w:val="BE35EB8B"/>
    <w:rsid w:val="BF3A9A19"/>
    <w:rsid w:val="BF5897B1"/>
    <w:rsid w:val="BF7F541C"/>
    <w:rsid w:val="BF7F5DEA"/>
    <w:rsid w:val="BFAFA887"/>
    <w:rsid w:val="BFDD26D4"/>
    <w:rsid w:val="BFE71CF2"/>
    <w:rsid w:val="BFEF3D2C"/>
    <w:rsid w:val="C7F93FE6"/>
    <w:rsid w:val="CD3BC6A1"/>
    <w:rsid w:val="CD558B7E"/>
    <w:rsid w:val="CD77DFA2"/>
    <w:rsid w:val="CDECD5D1"/>
    <w:rsid w:val="CFB78F23"/>
    <w:rsid w:val="D3F93E6D"/>
    <w:rsid w:val="D5FE33A3"/>
    <w:rsid w:val="D6FBF827"/>
    <w:rsid w:val="D77FCB56"/>
    <w:rsid w:val="D7B2179E"/>
    <w:rsid w:val="D7FE8879"/>
    <w:rsid w:val="DBB3183B"/>
    <w:rsid w:val="DBBFCA1E"/>
    <w:rsid w:val="DBFE26F7"/>
    <w:rsid w:val="DCFE9F09"/>
    <w:rsid w:val="DDFE5495"/>
    <w:rsid w:val="DE9AEE40"/>
    <w:rsid w:val="DF1F1E1E"/>
    <w:rsid w:val="DF253DD3"/>
    <w:rsid w:val="DF270613"/>
    <w:rsid w:val="DFEE48F8"/>
    <w:rsid w:val="DFFE6039"/>
    <w:rsid w:val="E1DD6B8E"/>
    <w:rsid w:val="E2773BF2"/>
    <w:rsid w:val="E2AF188B"/>
    <w:rsid w:val="E57F562A"/>
    <w:rsid w:val="E5CCDFE3"/>
    <w:rsid w:val="E6DC4570"/>
    <w:rsid w:val="E73E6C06"/>
    <w:rsid w:val="E7BC0383"/>
    <w:rsid w:val="E7EC0D44"/>
    <w:rsid w:val="EBF7C508"/>
    <w:rsid w:val="EDBF7E78"/>
    <w:rsid w:val="EF3D4E3E"/>
    <w:rsid w:val="EFDD08AE"/>
    <w:rsid w:val="EFE39689"/>
    <w:rsid w:val="EFEC6B99"/>
    <w:rsid w:val="EFF70856"/>
    <w:rsid w:val="EFF91565"/>
    <w:rsid w:val="EFFB8692"/>
    <w:rsid w:val="EFFFA317"/>
    <w:rsid w:val="F0DA3010"/>
    <w:rsid w:val="F1D52749"/>
    <w:rsid w:val="F2BA5762"/>
    <w:rsid w:val="F2F2671C"/>
    <w:rsid w:val="F2FA72C4"/>
    <w:rsid w:val="F2FC2911"/>
    <w:rsid w:val="F32E5DA4"/>
    <w:rsid w:val="F3B797BF"/>
    <w:rsid w:val="F3FEED6F"/>
    <w:rsid w:val="F4FDB584"/>
    <w:rsid w:val="F6FF6EB9"/>
    <w:rsid w:val="F6FFFA25"/>
    <w:rsid w:val="F71F41F8"/>
    <w:rsid w:val="F77B5691"/>
    <w:rsid w:val="F77F8CEB"/>
    <w:rsid w:val="F77FE5BD"/>
    <w:rsid w:val="F7CFE564"/>
    <w:rsid w:val="F7D4812A"/>
    <w:rsid w:val="F7D7F154"/>
    <w:rsid w:val="F7DF0B97"/>
    <w:rsid w:val="F7E7B186"/>
    <w:rsid w:val="F7EFD56C"/>
    <w:rsid w:val="F9BE8B13"/>
    <w:rsid w:val="F9C7020D"/>
    <w:rsid w:val="F9EFDEA8"/>
    <w:rsid w:val="FABD9233"/>
    <w:rsid w:val="FABFC5C3"/>
    <w:rsid w:val="FAD02AEB"/>
    <w:rsid w:val="FB5D6AF6"/>
    <w:rsid w:val="FBA72D6E"/>
    <w:rsid w:val="FBBD2880"/>
    <w:rsid w:val="FBEF713B"/>
    <w:rsid w:val="FBEF9EE1"/>
    <w:rsid w:val="FBF76956"/>
    <w:rsid w:val="FBFAFF30"/>
    <w:rsid w:val="FCEDBECE"/>
    <w:rsid w:val="FD7543D3"/>
    <w:rsid w:val="FDAFFA9B"/>
    <w:rsid w:val="FDC66106"/>
    <w:rsid w:val="FDFD73EE"/>
    <w:rsid w:val="FDFF0913"/>
    <w:rsid w:val="FE0FB2A4"/>
    <w:rsid w:val="FE3D5578"/>
    <w:rsid w:val="FE73B307"/>
    <w:rsid w:val="FE750C0D"/>
    <w:rsid w:val="FE7D10E7"/>
    <w:rsid w:val="FE7E8288"/>
    <w:rsid w:val="FEAFC51A"/>
    <w:rsid w:val="FEB6678F"/>
    <w:rsid w:val="FEBA3534"/>
    <w:rsid w:val="FEBFCA6F"/>
    <w:rsid w:val="FF3998EE"/>
    <w:rsid w:val="FF3DE313"/>
    <w:rsid w:val="FF4FE444"/>
    <w:rsid w:val="FF6FAA89"/>
    <w:rsid w:val="FF711315"/>
    <w:rsid w:val="FF7BB7A1"/>
    <w:rsid w:val="FF9D6D8D"/>
    <w:rsid w:val="FFCBDF1D"/>
    <w:rsid w:val="FFDB98B7"/>
    <w:rsid w:val="FFE68A32"/>
    <w:rsid w:val="FFF402C0"/>
    <w:rsid w:val="FFF52CAC"/>
    <w:rsid w:val="FFF8BA2A"/>
    <w:rsid w:val="FFFB3D6B"/>
    <w:rsid w:val="FFFB456D"/>
    <w:rsid w:val="FFFB7CAF"/>
    <w:rsid w:val="FFFC7FDB"/>
    <w:rsid w:val="FFFCFA70"/>
    <w:rsid w:val="FFFF2F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35"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szCs w:val="24"/>
      <w:lang w:val="en-US" w:eastAsia="zh-CN" w:bidi="ar-SA"/>
    </w:rPr>
  </w:style>
  <w:style w:type="paragraph" w:styleId="4">
    <w:name w:val="heading 1"/>
    <w:basedOn w:val="1"/>
    <w:next w:val="1"/>
    <w:qFormat/>
    <w:uiPriority w:val="9"/>
    <w:pPr>
      <w:keepNext/>
      <w:keepLines/>
      <w:spacing w:before="340" w:after="330" w:line="578" w:lineRule="auto"/>
      <w:outlineLvl w:val="0"/>
    </w:pPr>
    <w:rPr>
      <w:b/>
      <w:bCs/>
      <w:kern w:val="44"/>
      <w:sz w:val="44"/>
      <w:szCs w:val="44"/>
    </w:rPr>
  </w:style>
  <w:style w:type="paragraph" w:styleId="5">
    <w:name w:val="heading 2"/>
    <w:basedOn w:val="1"/>
    <w:next w:val="1"/>
    <w:qFormat/>
    <w:uiPriority w:val="0"/>
    <w:pPr>
      <w:keepNext/>
      <w:keepLines/>
      <w:spacing w:line="600" w:lineRule="exact"/>
      <w:outlineLvl w:val="1"/>
    </w:pPr>
    <w:rPr>
      <w:rFonts w:ascii="Arial" w:hAnsi="Arial" w:eastAsia="黑体"/>
      <w:b/>
    </w:rPr>
  </w:style>
  <w:style w:type="paragraph" w:styleId="6">
    <w:name w:val="heading 3"/>
    <w:basedOn w:val="1"/>
    <w:next w:val="1"/>
    <w:qFormat/>
    <w:uiPriority w:val="0"/>
    <w:pPr>
      <w:keepNext/>
      <w:keepLines/>
      <w:adjustRightInd w:val="0"/>
      <w:snapToGrid w:val="0"/>
      <w:spacing w:line="360" w:lineRule="auto"/>
      <w:outlineLvl w:val="2"/>
    </w:pPr>
    <w:rPr>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eastAsia="en-US"/>
    </w:rPr>
  </w:style>
  <w:style w:type="paragraph" w:styleId="3">
    <w:name w:val="Title"/>
    <w:basedOn w:val="1"/>
    <w:next w:val="1"/>
    <w:qFormat/>
    <w:uiPriority w:val="0"/>
    <w:pPr>
      <w:spacing w:before="240" w:after="60"/>
      <w:jc w:val="center"/>
      <w:outlineLvl w:val="0"/>
    </w:pPr>
    <w:rPr>
      <w:rFonts w:eastAsia="华康简标题宋" w:cs="Arial"/>
      <w:bCs/>
      <w:sz w:val="44"/>
      <w:szCs w:val="32"/>
    </w:rPr>
  </w:style>
  <w:style w:type="paragraph" w:styleId="7">
    <w:name w:val="caption"/>
    <w:basedOn w:val="1"/>
    <w:next w:val="1"/>
    <w:semiHidden/>
    <w:unhideWhenUsed/>
    <w:qFormat/>
    <w:uiPriority w:val="35"/>
    <w:rPr>
      <w:rFonts w:ascii="Arial" w:hAnsi="Arial" w:eastAsia="黑体"/>
      <w:sz w:val="20"/>
    </w:rPr>
  </w:style>
  <w:style w:type="paragraph" w:styleId="8">
    <w:name w:val="annotation text"/>
    <w:basedOn w:val="1"/>
    <w:qFormat/>
    <w:uiPriority w:val="0"/>
    <w:pPr>
      <w:jc w:val="left"/>
    </w:pPr>
  </w:style>
  <w:style w:type="paragraph" w:styleId="9">
    <w:name w:val="Body Text Indent"/>
    <w:basedOn w:val="1"/>
    <w:next w:val="1"/>
    <w:qFormat/>
    <w:uiPriority w:val="0"/>
    <w:pPr>
      <w:spacing w:after="120" w:line="360" w:lineRule="auto"/>
      <w:ind w:left="420"/>
    </w:pPr>
    <w:rPr>
      <w:color w:val="000000"/>
      <w:kern w:val="1"/>
      <w:sz w:val="28"/>
      <w:szCs w:val="21"/>
    </w:rPr>
  </w:style>
  <w:style w:type="paragraph" w:styleId="10">
    <w:name w:val="Plain Text"/>
    <w:basedOn w:val="1"/>
    <w:qFormat/>
    <w:uiPriority w:val="0"/>
    <w:rPr>
      <w:rFonts w:ascii="宋体" w:hAnsi="Courier New" w:cs="Courier New"/>
      <w:szCs w:val="21"/>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next w:val="10"/>
    <w:link w:val="21"/>
    <w:qFormat/>
    <w:uiPriority w:val="0"/>
    <w:pPr>
      <w:pBdr>
        <w:bottom w:val="single" w:color="auto" w:sz="6" w:space="1"/>
      </w:pBdr>
      <w:tabs>
        <w:tab w:val="center" w:pos="4153"/>
        <w:tab w:val="right" w:pos="8306"/>
      </w:tabs>
      <w:snapToGrid w:val="0"/>
      <w:jc w:val="center"/>
    </w:pPr>
    <w:rPr>
      <w:sz w:val="18"/>
      <w:szCs w:val="18"/>
    </w:rPr>
  </w:style>
  <w:style w:type="paragraph" w:styleId="13">
    <w:name w:val="footnote text"/>
    <w:basedOn w:val="1"/>
    <w:semiHidden/>
    <w:unhideWhenUsed/>
    <w:qFormat/>
    <w:uiPriority w:val="0"/>
    <w:pPr>
      <w:snapToGrid w:val="0"/>
      <w:jc w:val="left"/>
    </w:pPr>
    <w:rPr>
      <w:sz w:val="18"/>
    </w:rPr>
  </w:style>
  <w:style w:type="paragraph" w:styleId="14">
    <w:name w:val="Normal (Web)"/>
    <w:basedOn w:val="1"/>
    <w:qFormat/>
    <w:uiPriority w:val="0"/>
    <w:pPr>
      <w:widowControl/>
      <w:spacing w:before="100" w:beforeAutospacing="1" w:after="100" w:afterAutospacing="1"/>
      <w:jc w:val="left"/>
    </w:pPr>
    <w:rPr>
      <w:rFonts w:ascii="宋体" w:hAnsi="宋体" w:eastAsia="宋体" w:cs="宋体"/>
      <w:kern w:val="0"/>
      <w:sz w:val="24"/>
    </w:rPr>
  </w:style>
  <w:style w:type="paragraph" w:styleId="15">
    <w:name w:val="Body Text First Indent 2"/>
    <w:basedOn w:val="9"/>
    <w:next w:val="1"/>
    <w:qFormat/>
    <w:uiPriority w:val="0"/>
    <w:pPr>
      <w:ind w:firstLine="420"/>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footnote reference"/>
    <w:basedOn w:val="18"/>
    <w:semiHidden/>
    <w:unhideWhenUsed/>
    <w:qFormat/>
    <w:uiPriority w:val="0"/>
    <w:rPr>
      <w:vertAlign w:val="superscript"/>
    </w:rPr>
  </w:style>
  <w:style w:type="paragraph" w:customStyle="1" w:styleId="20">
    <w:name w:val="正文缩进1"/>
    <w:qFormat/>
    <w:uiPriority w:val="0"/>
    <w:pPr>
      <w:widowControl w:val="0"/>
      <w:ind w:firstLine="420" w:firstLineChars="200"/>
      <w:jc w:val="both"/>
    </w:pPr>
    <w:rPr>
      <w:rFonts w:ascii="Times New Roman" w:hAnsi="Calibri" w:eastAsia="宋体" w:cs="Times New Roman"/>
      <w:kern w:val="2"/>
      <w:sz w:val="21"/>
      <w:szCs w:val="24"/>
      <w:lang w:val="en-US" w:eastAsia="zh-CN" w:bidi="ar-SA"/>
    </w:rPr>
  </w:style>
  <w:style w:type="character" w:customStyle="1" w:styleId="21">
    <w:name w:val="页眉 Char"/>
    <w:basedOn w:val="18"/>
    <w:link w:val="12"/>
    <w:qFormat/>
    <w:uiPriority w:val="0"/>
    <w:rPr>
      <w:rFonts w:ascii="Times New Roman" w:hAnsi="Times New Roman" w:eastAsia="仿宋_GB2312" w:cs="Times New Roman"/>
      <w:kern w:val="2"/>
      <w:sz w:val="18"/>
      <w:szCs w:val="18"/>
    </w:rPr>
  </w:style>
  <w:style w:type="character" w:customStyle="1" w:styleId="22">
    <w:name w:val="页脚 Char"/>
    <w:basedOn w:val="18"/>
    <w:link w:val="11"/>
    <w:qFormat/>
    <w:uiPriority w:val="99"/>
    <w:rPr>
      <w:rFonts w:ascii="Times New Roman" w:hAnsi="Times New Roman" w:eastAsia="仿宋_GB2312" w:cs="Times New Roman"/>
      <w:kern w:val="2"/>
      <w:sz w:val="18"/>
      <w:szCs w:val="18"/>
    </w:rPr>
  </w:style>
  <w:style w:type="paragraph" w:customStyle="1" w:styleId="23">
    <w:name w:val="Plain Text1"/>
    <w:basedOn w:val="1"/>
    <w:qFormat/>
    <w:uiPriority w:val="0"/>
    <w:pPr>
      <w:spacing w:line="560" w:lineRule="exact"/>
      <w:ind w:firstLine="800"/>
    </w:pPr>
    <w:rPr>
      <w:rFonts w:ascii="宋体" w:hAnsi="宋体"/>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Chinese ORG</Company>
  <Pages>27</Pages>
  <Words>3013</Words>
  <Characters>17175</Characters>
  <Lines>143</Lines>
  <Paragraphs>40</Paragraphs>
  <TotalTime>5</TotalTime>
  <ScaleCrop>false</ScaleCrop>
  <LinksUpToDate>false</LinksUpToDate>
  <CharactersWithSpaces>20148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2021-02-04T01:44:00Z</dcterms:created>
  <dc:creator>uos</dc:creator>
  <cp:lastModifiedBy>uos</cp:lastModifiedBy>
  <cp:lastPrinted>2021-02-23T07:52:00Z</cp:lastPrinted>
  <dcterms:modified xsi:type="dcterms:W3CDTF">2025-07-25T10:43:18Z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2F009901EA274167AA6E0DEA373B2411_12</vt:lpwstr>
  </property>
</Properties>
</file>